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63DE6" w14:textId="07875060" w:rsidR="0038697E" w:rsidRDefault="00FC0473" w:rsidP="00FC0473">
      <w:pPr>
        <w:jc w:val="center"/>
        <w:rPr>
          <w:rFonts w:ascii="Times New Roman" w:hAnsi="Times New Roman" w:cs="Times New Roman"/>
          <w:b/>
          <w:bCs/>
          <w:sz w:val="24"/>
          <w:szCs w:val="24"/>
        </w:rPr>
      </w:pPr>
      <w:r w:rsidRPr="00FC0473">
        <w:rPr>
          <w:rFonts w:ascii="Times New Roman" w:hAnsi="Times New Roman" w:cs="Times New Roman"/>
          <w:b/>
          <w:bCs/>
          <w:sz w:val="24"/>
          <w:szCs w:val="24"/>
        </w:rPr>
        <w:t>Les p</w:t>
      </w:r>
      <w:r>
        <w:rPr>
          <w:rFonts w:ascii="Times New Roman" w:hAnsi="Times New Roman" w:cs="Times New Roman"/>
          <w:b/>
          <w:bCs/>
          <w:sz w:val="24"/>
          <w:szCs w:val="24"/>
        </w:rPr>
        <w:t>orts cellulaires (uniports, antiports &amp; symports)</w:t>
      </w:r>
    </w:p>
    <w:p w14:paraId="78693D87" w14:textId="1D1BD05D" w:rsidR="00FC0473" w:rsidRDefault="00FC0473" w:rsidP="00FC0473">
      <w:pPr>
        <w:jc w:val="center"/>
        <w:rPr>
          <w:rFonts w:ascii="Times New Roman" w:hAnsi="Times New Roman" w:cs="Times New Roman"/>
          <w:b/>
          <w:bCs/>
          <w:i/>
          <w:iCs/>
          <w:sz w:val="24"/>
          <w:szCs w:val="24"/>
        </w:rPr>
      </w:pPr>
      <w:r>
        <w:rPr>
          <w:rFonts w:ascii="Times New Roman" w:hAnsi="Times New Roman" w:cs="Times New Roman"/>
          <w:b/>
          <w:bCs/>
          <w:i/>
          <w:iCs/>
          <w:sz w:val="24"/>
          <w:szCs w:val="24"/>
        </w:rPr>
        <w:t>Michel Lagarde</w:t>
      </w:r>
    </w:p>
    <w:p w14:paraId="7FE2DA64" w14:textId="77777777" w:rsidR="00FC0473" w:rsidRDefault="00FC0473" w:rsidP="00FC0473">
      <w:pPr>
        <w:jc w:val="both"/>
        <w:rPr>
          <w:rFonts w:ascii="Times New Roman" w:hAnsi="Times New Roman" w:cs="Times New Roman"/>
          <w:sz w:val="24"/>
          <w:szCs w:val="24"/>
        </w:rPr>
      </w:pPr>
    </w:p>
    <w:p w14:paraId="54A634E7" w14:textId="21BF9A26" w:rsidR="00ED5581" w:rsidRPr="00ED5581" w:rsidRDefault="00ED5581" w:rsidP="00FC0473">
      <w:pPr>
        <w:jc w:val="both"/>
        <w:rPr>
          <w:rFonts w:ascii="Times New Roman" w:hAnsi="Times New Roman" w:cs="Times New Roman"/>
          <w:b/>
          <w:bCs/>
          <w:sz w:val="24"/>
          <w:szCs w:val="24"/>
        </w:rPr>
      </w:pPr>
      <w:r w:rsidRPr="00ED5581">
        <w:rPr>
          <w:rFonts w:ascii="Times New Roman" w:hAnsi="Times New Roman" w:cs="Times New Roman"/>
          <w:b/>
          <w:bCs/>
          <w:sz w:val="24"/>
          <w:szCs w:val="24"/>
        </w:rPr>
        <w:t>Introduction.</w:t>
      </w:r>
    </w:p>
    <w:p w14:paraId="1C049AA4" w14:textId="1DE56E0D" w:rsidR="00ED5581" w:rsidRDefault="00FC0473" w:rsidP="00FC0473">
      <w:pPr>
        <w:jc w:val="both"/>
        <w:rPr>
          <w:rFonts w:ascii="Times New Roman" w:hAnsi="Times New Roman" w:cs="Times New Roman"/>
          <w:sz w:val="24"/>
          <w:szCs w:val="24"/>
        </w:rPr>
      </w:pPr>
      <w:r>
        <w:rPr>
          <w:rFonts w:ascii="Times New Roman" w:hAnsi="Times New Roman" w:cs="Times New Roman"/>
          <w:sz w:val="24"/>
          <w:szCs w:val="24"/>
        </w:rPr>
        <w:t xml:space="preserve">Les cellules vivantes (animales et végétales) sont les éléments de base de différents organes, </w:t>
      </w:r>
      <w:r w:rsidR="00C23013">
        <w:rPr>
          <w:rFonts w:ascii="Times New Roman" w:hAnsi="Times New Roman" w:cs="Times New Roman"/>
          <w:sz w:val="24"/>
          <w:szCs w:val="24"/>
        </w:rPr>
        <w:t>eux</w:t>
      </w:r>
      <w:r>
        <w:rPr>
          <w:rFonts w:ascii="Times New Roman" w:hAnsi="Times New Roman" w:cs="Times New Roman"/>
          <w:sz w:val="24"/>
          <w:szCs w:val="24"/>
        </w:rPr>
        <w:t xml:space="preserve">-mêmes </w:t>
      </w:r>
      <w:r w:rsidR="00C479B8">
        <w:rPr>
          <w:rFonts w:ascii="Times New Roman" w:hAnsi="Times New Roman" w:cs="Times New Roman"/>
          <w:sz w:val="24"/>
          <w:szCs w:val="24"/>
        </w:rPr>
        <w:t>constituants</w:t>
      </w:r>
      <w:r>
        <w:rPr>
          <w:rFonts w:ascii="Times New Roman" w:hAnsi="Times New Roman" w:cs="Times New Roman"/>
          <w:sz w:val="24"/>
          <w:szCs w:val="24"/>
        </w:rPr>
        <w:t xml:space="preserve"> </w:t>
      </w:r>
      <w:r w:rsidR="004863C2">
        <w:rPr>
          <w:rFonts w:ascii="Times New Roman" w:hAnsi="Times New Roman" w:cs="Times New Roman"/>
          <w:sz w:val="24"/>
          <w:szCs w:val="24"/>
        </w:rPr>
        <w:t>d</w:t>
      </w:r>
      <w:r>
        <w:rPr>
          <w:rFonts w:ascii="Times New Roman" w:hAnsi="Times New Roman" w:cs="Times New Roman"/>
          <w:sz w:val="24"/>
          <w:szCs w:val="24"/>
        </w:rPr>
        <w:t>es organismes animaux ou végétaux. Ces éléments de base</w:t>
      </w:r>
      <w:r w:rsidR="00C479B8">
        <w:rPr>
          <w:rFonts w:ascii="Times New Roman" w:hAnsi="Times New Roman" w:cs="Times New Roman"/>
          <w:sz w:val="24"/>
          <w:szCs w:val="24"/>
        </w:rPr>
        <w:t xml:space="preserve"> que sont les cellules</w:t>
      </w:r>
      <w:r>
        <w:rPr>
          <w:rFonts w:ascii="Times New Roman" w:hAnsi="Times New Roman" w:cs="Times New Roman"/>
          <w:sz w:val="24"/>
          <w:szCs w:val="24"/>
        </w:rPr>
        <w:t xml:space="preserve"> sont séparés entre eux, aussi bien que de l’extérieur des organes, par des membranes qui sont majoritairement constituées de lipides (molécules </w:t>
      </w:r>
      <w:r w:rsidR="00A513CC">
        <w:rPr>
          <w:rFonts w:ascii="Times New Roman" w:hAnsi="Times New Roman" w:cs="Times New Roman"/>
          <w:sz w:val="24"/>
          <w:szCs w:val="24"/>
        </w:rPr>
        <w:t>majoritaire</w:t>
      </w:r>
      <w:r>
        <w:rPr>
          <w:rFonts w:ascii="Times New Roman" w:hAnsi="Times New Roman" w:cs="Times New Roman"/>
          <w:sz w:val="24"/>
          <w:szCs w:val="24"/>
        </w:rPr>
        <w:t>ment hydrophobes)</w:t>
      </w:r>
      <w:r w:rsidR="00C23013">
        <w:rPr>
          <w:rFonts w:ascii="Times New Roman" w:hAnsi="Times New Roman" w:cs="Times New Roman"/>
          <w:sz w:val="24"/>
          <w:szCs w:val="24"/>
        </w:rPr>
        <w:t>. Au-delà de ces membranes séparatrices de cellules et organes, appelées membranes plasmiques, d’autres membranes entourent les organites intra-cellulaires comme le noyau, l</w:t>
      </w:r>
      <w:r w:rsidR="00ED5581">
        <w:rPr>
          <w:rFonts w:ascii="Times New Roman" w:hAnsi="Times New Roman" w:cs="Times New Roman"/>
          <w:sz w:val="24"/>
          <w:szCs w:val="24"/>
        </w:rPr>
        <w:t>es</w:t>
      </w:r>
      <w:r w:rsidR="00C23013">
        <w:rPr>
          <w:rFonts w:ascii="Times New Roman" w:hAnsi="Times New Roman" w:cs="Times New Roman"/>
          <w:sz w:val="24"/>
          <w:szCs w:val="24"/>
        </w:rPr>
        <w:t xml:space="preserve"> mitochondrie</w:t>
      </w:r>
      <w:r w:rsidR="00ED5581">
        <w:rPr>
          <w:rFonts w:ascii="Times New Roman" w:hAnsi="Times New Roman" w:cs="Times New Roman"/>
          <w:sz w:val="24"/>
          <w:szCs w:val="24"/>
        </w:rPr>
        <w:t>s</w:t>
      </w:r>
      <w:r w:rsidR="0069069C">
        <w:rPr>
          <w:rFonts w:ascii="Times New Roman" w:hAnsi="Times New Roman" w:cs="Times New Roman"/>
          <w:sz w:val="24"/>
          <w:szCs w:val="24"/>
        </w:rPr>
        <w:t xml:space="preserve"> et</w:t>
      </w:r>
      <w:r w:rsidR="00C23013">
        <w:rPr>
          <w:rFonts w:ascii="Times New Roman" w:hAnsi="Times New Roman" w:cs="Times New Roman"/>
          <w:sz w:val="24"/>
          <w:szCs w:val="24"/>
        </w:rPr>
        <w:t xml:space="preserve"> constituent aussi l’essentiel du réticulum endoplasmique,</w:t>
      </w:r>
      <w:r w:rsidR="0069069C">
        <w:rPr>
          <w:rFonts w:ascii="Times New Roman" w:hAnsi="Times New Roman" w:cs="Times New Roman"/>
          <w:sz w:val="24"/>
          <w:szCs w:val="24"/>
        </w:rPr>
        <w:t xml:space="preserve"> ainsi que</w:t>
      </w:r>
      <w:r w:rsidR="00C23013">
        <w:rPr>
          <w:rFonts w:ascii="Times New Roman" w:hAnsi="Times New Roman" w:cs="Times New Roman"/>
          <w:sz w:val="24"/>
          <w:szCs w:val="24"/>
        </w:rPr>
        <w:t xml:space="preserve"> l’Appareil de Golgi (Figure 1). Toutes ces membranes ont en commun d’être essentiellement lipidiques </w:t>
      </w:r>
      <w:r w:rsidR="00A32148">
        <w:rPr>
          <w:rFonts w:ascii="Times New Roman" w:hAnsi="Times New Roman" w:cs="Times New Roman"/>
          <w:sz w:val="24"/>
          <w:szCs w:val="24"/>
        </w:rPr>
        <w:t>pour « faire frontière » avec le milieu aqueux, extra- et intra-cellulaire.</w:t>
      </w:r>
      <w:r w:rsidR="00E70E12">
        <w:rPr>
          <w:rFonts w:ascii="Times New Roman" w:hAnsi="Times New Roman" w:cs="Times New Roman"/>
          <w:sz w:val="24"/>
          <w:szCs w:val="24"/>
        </w:rPr>
        <w:t xml:space="preserve"> L’article ci-dessous s’attachera aux membranes animales, évitant la compl</w:t>
      </w:r>
      <w:r w:rsidR="00ED5581">
        <w:rPr>
          <w:rFonts w:ascii="Times New Roman" w:hAnsi="Times New Roman" w:cs="Times New Roman"/>
          <w:sz w:val="24"/>
          <w:szCs w:val="24"/>
        </w:rPr>
        <w:t>exité</w:t>
      </w:r>
      <w:r w:rsidR="00E70E12">
        <w:rPr>
          <w:rFonts w:ascii="Times New Roman" w:hAnsi="Times New Roman" w:cs="Times New Roman"/>
          <w:sz w:val="24"/>
          <w:szCs w:val="24"/>
        </w:rPr>
        <w:t xml:space="preserve"> qui existe chez les cellules végétales où la membrane plasmique est doublée d’une paroi cellulosique</w:t>
      </w:r>
      <w:r w:rsidR="0069069C">
        <w:rPr>
          <w:rFonts w:ascii="Times New Roman" w:hAnsi="Times New Roman" w:cs="Times New Roman"/>
          <w:sz w:val="24"/>
          <w:szCs w:val="24"/>
        </w:rPr>
        <w:t>, de nature complètement différente</w:t>
      </w:r>
      <w:r w:rsidR="00E70E12">
        <w:rPr>
          <w:rFonts w:ascii="Times New Roman" w:hAnsi="Times New Roman" w:cs="Times New Roman"/>
          <w:sz w:val="24"/>
          <w:szCs w:val="24"/>
        </w:rPr>
        <w:t xml:space="preserve"> </w:t>
      </w:r>
      <w:r w:rsidR="0069069C">
        <w:rPr>
          <w:rFonts w:ascii="Times New Roman" w:hAnsi="Times New Roman" w:cs="Times New Roman"/>
          <w:sz w:val="24"/>
          <w:szCs w:val="24"/>
        </w:rPr>
        <w:t>puisque constituée essentiellement de</w:t>
      </w:r>
      <w:r w:rsidR="00E70E12">
        <w:rPr>
          <w:rFonts w:ascii="Times New Roman" w:hAnsi="Times New Roman" w:cs="Times New Roman"/>
          <w:sz w:val="24"/>
          <w:szCs w:val="24"/>
        </w:rPr>
        <w:t xml:space="preserve"> cellulose</w:t>
      </w:r>
      <w:r w:rsidR="0069069C">
        <w:rPr>
          <w:rFonts w:ascii="Times New Roman" w:hAnsi="Times New Roman" w:cs="Times New Roman"/>
          <w:sz w:val="24"/>
          <w:szCs w:val="24"/>
        </w:rPr>
        <w:t>,</w:t>
      </w:r>
      <w:r w:rsidR="00E70E12">
        <w:rPr>
          <w:rFonts w:ascii="Times New Roman" w:hAnsi="Times New Roman" w:cs="Times New Roman"/>
          <w:sz w:val="24"/>
          <w:szCs w:val="24"/>
        </w:rPr>
        <w:t xml:space="preserve"> un polymère de </w:t>
      </w:r>
      <w:r w:rsidR="00E70E12" w:rsidRPr="00E70E12">
        <w:rPr>
          <w:rFonts w:ascii="Symbol" w:hAnsi="Symbol" w:cs="Times New Roman"/>
          <w:sz w:val="24"/>
          <w:szCs w:val="24"/>
        </w:rPr>
        <w:t>b</w:t>
      </w:r>
      <w:r w:rsidR="00E70E12">
        <w:rPr>
          <w:rFonts w:ascii="Times New Roman" w:hAnsi="Times New Roman" w:cs="Times New Roman"/>
          <w:sz w:val="24"/>
          <w:szCs w:val="24"/>
        </w:rPr>
        <w:t>-glucose</w:t>
      </w:r>
      <w:r w:rsidR="0069069C">
        <w:rPr>
          <w:rFonts w:ascii="Times New Roman" w:hAnsi="Times New Roman" w:cs="Times New Roman"/>
          <w:sz w:val="24"/>
          <w:szCs w:val="24"/>
        </w:rPr>
        <w:t xml:space="preserve"> hydrophile.</w:t>
      </w:r>
    </w:p>
    <w:p w14:paraId="77E0EB35" w14:textId="2FBB9908" w:rsidR="00DA7BF5" w:rsidRPr="00DA7BF5" w:rsidRDefault="00ED5581" w:rsidP="00FC0473">
      <w:pPr>
        <w:jc w:val="both"/>
        <w:rPr>
          <w:rFonts w:ascii="Times New Roman" w:hAnsi="Times New Roman" w:cs="Times New Roman"/>
          <w:sz w:val="24"/>
          <w:szCs w:val="24"/>
        </w:rPr>
      </w:pPr>
      <w:r>
        <w:rPr>
          <w:noProof/>
        </w:rPr>
        <w:drawing>
          <wp:inline distT="0" distB="0" distL="0" distR="0" wp14:anchorId="6ACC0E87" wp14:editId="22ABAC38">
            <wp:extent cx="5173150" cy="3881573"/>
            <wp:effectExtent l="0" t="0" r="8890" b="5080"/>
            <wp:docPr id="3076" name="Picture 4" descr="mybiologie: Procaryote ou eucaryote">
              <a:extLst xmlns:a="http://schemas.openxmlformats.org/drawingml/2006/main">
                <a:ext uri="{FF2B5EF4-FFF2-40B4-BE49-F238E27FC236}">
                  <a16:creationId xmlns:a16="http://schemas.microsoft.com/office/drawing/2014/main" id="{0E04682C-D386-C2EA-F95C-4CB7321C45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6" name="Picture 4" descr="mybiologie: Procaryote ou eucaryote">
                      <a:extLst>
                        <a:ext uri="{FF2B5EF4-FFF2-40B4-BE49-F238E27FC236}">
                          <a16:creationId xmlns:a16="http://schemas.microsoft.com/office/drawing/2014/main" id="{0E04682C-D386-C2EA-F95C-4CB7321C455E}"/>
                        </a:ext>
                      </a:extLst>
                    </pic:cNvP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188830" cy="3893338"/>
                    </a:xfrm>
                    <a:prstGeom prst="rect">
                      <a:avLst/>
                    </a:prstGeom>
                    <a:noFill/>
                  </pic:spPr>
                </pic:pic>
              </a:graphicData>
            </a:graphic>
          </wp:inline>
        </w:drawing>
      </w:r>
    </w:p>
    <w:p w14:paraId="159594CA" w14:textId="4CC09114" w:rsidR="00ED5581" w:rsidRDefault="00ED5581" w:rsidP="00FC0473">
      <w:pPr>
        <w:jc w:val="both"/>
        <w:rPr>
          <w:rFonts w:ascii="Times New Roman" w:hAnsi="Times New Roman" w:cs="Times New Roman"/>
          <w:sz w:val="24"/>
          <w:szCs w:val="24"/>
        </w:rPr>
      </w:pPr>
      <w:r w:rsidRPr="00ED5581">
        <w:rPr>
          <w:rFonts w:ascii="Times New Roman" w:hAnsi="Times New Roman" w:cs="Times New Roman"/>
          <w:b/>
          <w:bCs/>
          <w:sz w:val="24"/>
          <w:szCs w:val="24"/>
        </w:rPr>
        <w:t>Figure 1.</w:t>
      </w:r>
      <w:r>
        <w:rPr>
          <w:rFonts w:ascii="Times New Roman" w:hAnsi="Times New Roman" w:cs="Times New Roman"/>
          <w:sz w:val="24"/>
          <w:szCs w:val="24"/>
        </w:rPr>
        <w:t xml:space="preserve"> Ce schéma de cellule animale met en évidence la membrane plasmique (appelée ici membrane cellulaire) qui sépare les cellules d’un même organe et d’un organe à l’autre. Les milieux extracellulaire et intracellulaire sont essentiellement aqueux, donc </w:t>
      </w:r>
      <w:r w:rsidR="00DA7BF5">
        <w:rPr>
          <w:rFonts w:ascii="Times New Roman" w:hAnsi="Times New Roman" w:cs="Times New Roman"/>
          <w:sz w:val="24"/>
          <w:szCs w:val="24"/>
        </w:rPr>
        <w:t xml:space="preserve">polaires ou hydrophiles, alors que les membranes sont essentiellement lipidiques, donc hydrophobes. On voit aussi </w:t>
      </w:r>
      <w:r w:rsidR="009C1A17">
        <w:rPr>
          <w:rFonts w:ascii="Times New Roman" w:hAnsi="Times New Roman" w:cs="Times New Roman"/>
          <w:sz w:val="24"/>
          <w:szCs w:val="24"/>
        </w:rPr>
        <w:t>d</w:t>
      </w:r>
      <w:r w:rsidR="00DA7BF5">
        <w:rPr>
          <w:rFonts w:ascii="Times New Roman" w:hAnsi="Times New Roman" w:cs="Times New Roman"/>
          <w:sz w:val="24"/>
          <w:szCs w:val="24"/>
        </w:rPr>
        <w:t>es membranes qui entourent les organites intracellulaires, tels que noyau et mitochondries (dont il sera question en fin d’article)</w:t>
      </w:r>
    </w:p>
    <w:p w14:paraId="099913D1" w14:textId="3472B0B1" w:rsidR="00A32148" w:rsidRDefault="00A32148" w:rsidP="00FC0473">
      <w:pPr>
        <w:jc w:val="both"/>
        <w:rPr>
          <w:rFonts w:ascii="Times New Roman" w:hAnsi="Times New Roman" w:cs="Times New Roman"/>
          <w:sz w:val="24"/>
          <w:szCs w:val="24"/>
        </w:rPr>
      </w:pPr>
      <w:r>
        <w:rPr>
          <w:rFonts w:ascii="Times New Roman" w:hAnsi="Times New Roman" w:cs="Times New Roman"/>
          <w:sz w:val="24"/>
          <w:szCs w:val="24"/>
        </w:rPr>
        <w:lastRenderedPageBreak/>
        <w:t>Les ports cellulaires sont des entités protéiques, essentiellement présents dans les membranes plasmiques, pour contrôler le passage de molécules hydrophiles de part et d’autre de ces membranes</w:t>
      </w:r>
      <w:r w:rsidR="0069069C">
        <w:rPr>
          <w:rFonts w:ascii="Times New Roman" w:hAnsi="Times New Roman" w:cs="Times New Roman"/>
          <w:sz w:val="24"/>
          <w:szCs w:val="24"/>
        </w:rPr>
        <w:t xml:space="preserve"> hydrophobes</w:t>
      </w:r>
      <w:r>
        <w:rPr>
          <w:rFonts w:ascii="Times New Roman" w:hAnsi="Times New Roman" w:cs="Times New Roman"/>
          <w:sz w:val="24"/>
          <w:szCs w:val="24"/>
        </w:rPr>
        <w:t>. Le terme de « port » indique la fonction de contrôle (de l’extérieur vers l’intérieur de la cellule ou l’inverse) qu’exerce un « canal » protéique, terme générique pour ces échanges (extérieur/intérieur) plus ou moins contrôlé</w:t>
      </w:r>
      <w:r w:rsidR="008E0A60">
        <w:rPr>
          <w:rFonts w:ascii="Times New Roman" w:hAnsi="Times New Roman" w:cs="Times New Roman"/>
          <w:sz w:val="24"/>
          <w:szCs w:val="24"/>
        </w:rPr>
        <w:t>s</w:t>
      </w:r>
      <w:r>
        <w:rPr>
          <w:rFonts w:ascii="Times New Roman" w:hAnsi="Times New Roman" w:cs="Times New Roman"/>
          <w:sz w:val="24"/>
          <w:szCs w:val="24"/>
        </w:rPr>
        <w:t>. Ainsi, on distinguera les uniports, permettant le passage d’un</w:t>
      </w:r>
      <w:r w:rsidR="00D17CE8">
        <w:rPr>
          <w:rFonts w:ascii="Times New Roman" w:hAnsi="Times New Roman" w:cs="Times New Roman"/>
          <w:sz w:val="24"/>
          <w:szCs w:val="24"/>
        </w:rPr>
        <w:t xml:space="preserve"> seul</w:t>
      </w:r>
      <w:r>
        <w:rPr>
          <w:rFonts w:ascii="Times New Roman" w:hAnsi="Times New Roman" w:cs="Times New Roman"/>
          <w:sz w:val="24"/>
          <w:szCs w:val="24"/>
        </w:rPr>
        <w:t xml:space="preserve"> type de molécule, les antiports, contrôlant le passage inverse et concomitant de deux molécules différentes et, les symports</w:t>
      </w:r>
      <w:r w:rsidR="00E70E12">
        <w:rPr>
          <w:rFonts w:ascii="Times New Roman" w:hAnsi="Times New Roman" w:cs="Times New Roman"/>
          <w:sz w:val="24"/>
          <w:szCs w:val="24"/>
        </w:rPr>
        <w:t>, facilitant le passage simultané</w:t>
      </w:r>
      <w:r w:rsidR="0069069C">
        <w:rPr>
          <w:rFonts w:ascii="Times New Roman" w:hAnsi="Times New Roman" w:cs="Times New Roman"/>
          <w:sz w:val="24"/>
          <w:szCs w:val="24"/>
        </w:rPr>
        <w:t xml:space="preserve"> dans </w:t>
      </w:r>
      <w:r w:rsidR="008148B0">
        <w:rPr>
          <w:rFonts w:ascii="Times New Roman" w:hAnsi="Times New Roman" w:cs="Times New Roman"/>
          <w:sz w:val="24"/>
          <w:szCs w:val="24"/>
        </w:rPr>
        <w:t>la même</w:t>
      </w:r>
      <w:r w:rsidR="0069069C">
        <w:rPr>
          <w:rFonts w:ascii="Times New Roman" w:hAnsi="Times New Roman" w:cs="Times New Roman"/>
          <w:sz w:val="24"/>
          <w:szCs w:val="24"/>
        </w:rPr>
        <w:t xml:space="preserve"> direction</w:t>
      </w:r>
      <w:r w:rsidR="00E70E12">
        <w:rPr>
          <w:rFonts w:ascii="Times New Roman" w:hAnsi="Times New Roman" w:cs="Times New Roman"/>
          <w:sz w:val="24"/>
          <w:szCs w:val="24"/>
        </w:rPr>
        <w:t xml:space="preserve"> de deux molécules différentes (</w:t>
      </w:r>
      <w:r w:rsidR="00A44101">
        <w:rPr>
          <w:rFonts w:ascii="Times New Roman" w:hAnsi="Times New Roman" w:cs="Times New Roman"/>
          <w:sz w:val="24"/>
          <w:szCs w:val="24"/>
        </w:rPr>
        <w:t>F</w:t>
      </w:r>
      <w:r w:rsidR="00E70E12">
        <w:rPr>
          <w:rFonts w:ascii="Times New Roman" w:hAnsi="Times New Roman" w:cs="Times New Roman"/>
          <w:sz w:val="24"/>
          <w:szCs w:val="24"/>
        </w:rPr>
        <w:t>igure 2).</w:t>
      </w:r>
    </w:p>
    <w:p w14:paraId="5B9048E3" w14:textId="32853CB7" w:rsidR="00346F2C" w:rsidRDefault="00346F2C" w:rsidP="00FC0473">
      <w:pPr>
        <w:jc w:val="both"/>
        <w:rPr>
          <w:rFonts w:ascii="Times New Roman" w:hAnsi="Times New Roman" w:cs="Times New Roman"/>
          <w:sz w:val="24"/>
          <w:szCs w:val="24"/>
        </w:rPr>
      </w:pPr>
      <w:r>
        <w:rPr>
          <w:noProof/>
        </w:rPr>
        <w:drawing>
          <wp:inline distT="0" distB="0" distL="0" distR="0" wp14:anchorId="3C771611" wp14:editId="2344F848">
            <wp:extent cx="3891643" cy="2529653"/>
            <wp:effectExtent l="0" t="0" r="0" b="4445"/>
            <wp:docPr id="1030" name="Picture 6" descr="Active Transport - GeeksforGeeks">
              <a:extLst xmlns:a="http://schemas.openxmlformats.org/drawingml/2006/main">
                <a:ext uri="{FF2B5EF4-FFF2-40B4-BE49-F238E27FC236}">
                  <a16:creationId xmlns:a16="http://schemas.microsoft.com/office/drawing/2014/main" id="{65C1906C-5C13-40BD-C92C-0A49A23F4E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Active Transport - GeeksforGeeks">
                      <a:extLst>
                        <a:ext uri="{FF2B5EF4-FFF2-40B4-BE49-F238E27FC236}">
                          <a16:creationId xmlns:a16="http://schemas.microsoft.com/office/drawing/2014/main" id="{65C1906C-5C13-40BD-C92C-0A49A23F4EB1}"/>
                        </a:ext>
                      </a:extLst>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924648" cy="2551107"/>
                    </a:xfrm>
                    <a:prstGeom prst="rect">
                      <a:avLst/>
                    </a:prstGeom>
                    <a:noFill/>
                  </pic:spPr>
                </pic:pic>
              </a:graphicData>
            </a:graphic>
          </wp:inline>
        </w:drawing>
      </w:r>
    </w:p>
    <w:p w14:paraId="5F16BC8F" w14:textId="5C5571CA" w:rsidR="00346F2C" w:rsidRDefault="00346F2C" w:rsidP="00FC0473">
      <w:pPr>
        <w:jc w:val="both"/>
        <w:rPr>
          <w:rFonts w:ascii="Times New Roman" w:hAnsi="Times New Roman" w:cs="Times New Roman"/>
          <w:sz w:val="24"/>
          <w:szCs w:val="24"/>
        </w:rPr>
      </w:pPr>
      <w:r w:rsidRPr="00346F2C">
        <w:rPr>
          <w:rFonts w:ascii="Times New Roman" w:hAnsi="Times New Roman" w:cs="Times New Roman"/>
          <w:b/>
          <w:bCs/>
          <w:sz w:val="24"/>
          <w:szCs w:val="24"/>
        </w:rPr>
        <w:t>Figure 2.</w:t>
      </w:r>
      <w:r>
        <w:rPr>
          <w:rFonts w:ascii="Times New Roman" w:hAnsi="Times New Roman" w:cs="Times New Roman"/>
          <w:sz w:val="24"/>
          <w:szCs w:val="24"/>
        </w:rPr>
        <w:t xml:space="preserve"> Ce schéma montre les trois types de ports cellulaires qui seront présentés, avec un exemple moléculaire pour chacun. </w:t>
      </w:r>
      <w:r w:rsidR="0045416A">
        <w:rPr>
          <w:rFonts w:ascii="Times New Roman" w:hAnsi="Times New Roman" w:cs="Times New Roman"/>
          <w:sz w:val="24"/>
          <w:szCs w:val="24"/>
        </w:rPr>
        <w:t>Ces</w:t>
      </w:r>
      <w:r>
        <w:rPr>
          <w:rFonts w:ascii="Times New Roman" w:hAnsi="Times New Roman" w:cs="Times New Roman"/>
          <w:sz w:val="24"/>
          <w:szCs w:val="24"/>
        </w:rPr>
        <w:t xml:space="preserve"> ports sont des protéines plus ou moins complexes, qui sont insérées dans la bicouche lipidique représentée</w:t>
      </w:r>
      <w:r w:rsidR="0045416A">
        <w:rPr>
          <w:rFonts w:ascii="Times New Roman" w:hAnsi="Times New Roman" w:cs="Times New Roman"/>
          <w:sz w:val="24"/>
          <w:szCs w:val="24"/>
        </w:rPr>
        <w:t xml:space="preserve"> en couleur bleu-claire. Comme pour toute membrane cellulaire, la partie hydrophile d’une monocouche</w:t>
      </w:r>
      <w:r w:rsidR="0053030F">
        <w:rPr>
          <w:rFonts w:ascii="Times New Roman" w:hAnsi="Times New Roman" w:cs="Times New Roman"/>
          <w:sz w:val="24"/>
          <w:szCs w:val="24"/>
        </w:rPr>
        <w:t xml:space="preserve"> lipidique</w:t>
      </w:r>
      <w:r w:rsidR="0045416A">
        <w:rPr>
          <w:rFonts w:ascii="Times New Roman" w:hAnsi="Times New Roman" w:cs="Times New Roman"/>
          <w:sz w:val="24"/>
          <w:szCs w:val="24"/>
        </w:rPr>
        <w:t xml:space="preserve"> est représentée par un cercle ou sphère portant deux chaînes lipidiques (très hydrophobes), permettant l’assemblage des deux couches en un ensemble « séparateur » de milieux aqueux ou hydrophiles.</w:t>
      </w:r>
    </w:p>
    <w:p w14:paraId="27344AAA" w14:textId="77777777" w:rsidR="003C56D6" w:rsidRDefault="003C56D6" w:rsidP="00FC0473">
      <w:pPr>
        <w:jc w:val="both"/>
        <w:rPr>
          <w:rFonts w:ascii="Times New Roman" w:hAnsi="Times New Roman" w:cs="Times New Roman"/>
          <w:sz w:val="24"/>
          <w:szCs w:val="24"/>
        </w:rPr>
      </w:pPr>
    </w:p>
    <w:p w14:paraId="1C3FED5B" w14:textId="0293AF72" w:rsidR="00E70E12" w:rsidRPr="00E70E12" w:rsidRDefault="00E70E12" w:rsidP="00FC0473">
      <w:pPr>
        <w:jc w:val="both"/>
        <w:rPr>
          <w:rFonts w:ascii="Times New Roman" w:hAnsi="Times New Roman" w:cs="Times New Roman"/>
          <w:b/>
          <w:bCs/>
          <w:sz w:val="24"/>
          <w:szCs w:val="24"/>
        </w:rPr>
      </w:pPr>
      <w:r w:rsidRPr="00E70E12">
        <w:rPr>
          <w:rFonts w:ascii="Times New Roman" w:hAnsi="Times New Roman" w:cs="Times New Roman"/>
          <w:b/>
          <w:bCs/>
          <w:sz w:val="24"/>
          <w:szCs w:val="24"/>
        </w:rPr>
        <w:t>Exemple d’uniport pour le glucose.</w:t>
      </w:r>
    </w:p>
    <w:p w14:paraId="41AB520F" w14:textId="77777777" w:rsidR="0045416A" w:rsidRDefault="00E70E12" w:rsidP="00FC0473">
      <w:pPr>
        <w:jc w:val="both"/>
        <w:rPr>
          <w:rFonts w:ascii="Times New Roman" w:hAnsi="Times New Roman" w:cs="Times New Roman"/>
          <w:sz w:val="24"/>
          <w:szCs w:val="24"/>
        </w:rPr>
      </w:pPr>
      <w:r>
        <w:rPr>
          <w:rFonts w:ascii="Times New Roman" w:hAnsi="Times New Roman" w:cs="Times New Roman"/>
          <w:sz w:val="24"/>
          <w:szCs w:val="24"/>
        </w:rPr>
        <w:t>Le glucose</w:t>
      </w:r>
      <w:r w:rsidR="00A44101">
        <w:rPr>
          <w:rFonts w:ascii="Times New Roman" w:hAnsi="Times New Roman" w:cs="Times New Roman"/>
          <w:sz w:val="24"/>
          <w:szCs w:val="24"/>
        </w:rPr>
        <w:t xml:space="preserve"> est une petite molécule (</w:t>
      </w:r>
      <w:r w:rsidR="00800D2F">
        <w:rPr>
          <w:rFonts w:ascii="Times New Roman" w:hAnsi="Times New Roman" w:cs="Times New Roman"/>
          <w:sz w:val="24"/>
          <w:szCs w:val="24"/>
        </w:rPr>
        <w:t>poids moléculaire :</w:t>
      </w:r>
      <w:r w:rsidR="00A44101">
        <w:rPr>
          <w:rFonts w:ascii="Times New Roman" w:hAnsi="Times New Roman" w:cs="Times New Roman"/>
          <w:sz w:val="24"/>
          <w:szCs w:val="24"/>
        </w:rPr>
        <w:t xml:space="preserve"> 180) très hydrophile puisque sa structure « simplifiée » correspond à six carbones oxygénés, dont cinq sous forme d’alcool (Figure 3).</w:t>
      </w:r>
    </w:p>
    <w:p w14:paraId="6754542C" w14:textId="155288A8" w:rsidR="0045416A" w:rsidRDefault="0045416A" w:rsidP="00FC0473">
      <w:pPr>
        <w:jc w:val="both"/>
        <w:rPr>
          <w:rFonts w:ascii="Times New Roman" w:hAnsi="Times New Roman" w:cs="Times New Roman"/>
          <w:sz w:val="24"/>
          <w:szCs w:val="24"/>
        </w:rPr>
      </w:pPr>
      <w:r>
        <w:rPr>
          <w:noProof/>
        </w:rPr>
        <w:drawing>
          <wp:inline distT="0" distB="0" distL="0" distR="0" wp14:anchorId="5E167F0A" wp14:editId="50C7A004">
            <wp:extent cx="1458686" cy="1450296"/>
            <wp:effectExtent l="0" t="0" r="8255" b="0"/>
            <wp:docPr id="1028" name="Picture 4" descr="The Role of Glucose in Energy Production | The Science Blog">
              <a:extLst xmlns:a="http://schemas.openxmlformats.org/drawingml/2006/main">
                <a:ext uri="{FF2B5EF4-FFF2-40B4-BE49-F238E27FC236}">
                  <a16:creationId xmlns:a16="http://schemas.microsoft.com/office/drawing/2014/main" id="{3BEDE8EC-006F-27F2-5767-FB8653082C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The Role of Glucose in Energy Production | The Science Blog">
                      <a:extLst>
                        <a:ext uri="{FF2B5EF4-FFF2-40B4-BE49-F238E27FC236}">
                          <a16:creationId xmlns:a16="http://schemas.microsoft.com/office/drawing/2014/main" id="{3BEDE8EC-006F-27F2-5767-FB8653082C46}"/>
                        </a:ext>
                      </a:extLst>
                    </pic:cNvP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86152" cy="1477604"/>
                    </a:xfrm>
                    <a:prstGeom prst="rect">
                      <a:avLst/>
                    </a:prstGeom>
                    <a:noFill/>
                  </pic:spPr>
                </pic:pic>
              </a:graphicData>
            </a:graphic>
          </wp:inline>
        </w:drawing>
      </w:r>
    </w:p>
    <w:p w14:paraId="15756D19" w14:textId="66FD0C90" w:rsidR="0071505D" w:rsidRDefault="0071505D" w:rsidP="00FC0473">
      <w:pPr>
        <w:jc w:val="both"/>
        <w:rPr>
          <w:rFonts w:ascii="Times New Roman" w:hAnsi="Times New Roman" w:cs="Times New Roman"/>
          <w:sz w:val="24"/>
          <w:szCs w:val="24"/>
        </w:rPr>
      </w:pPr>
      <w:r w:rsidRPr="0071505D">
        <w:rPr>
          <w:rFonts w:ascii="Times New Roman" w:hAnsi="Times New Roman" w:cs="Times New Roman"/>
          <w:b/>
          <w:bCs/>
          <w:sz w:val="24"/>
          <w:szCs w:val="24"/>
        </w:rPr>
        <w:t>Figure 3.</w:t>
      </w:r>
      <w:r>
        <w:rPr>
          <w:rFonts w:ascii="Times New Roman" w:hAnsi="Times New Roman" w:cs="Times New Roman"/>
          <w:sz w:val="24"/>
          <w:szCs w:val="24"/>
        </w:rPr>
        <w:t xml:space="preserve"> Représentation chimique d’une molécule de glucose. Sa forme circulante principale est cyclique (</w:t>
      </w:r>
      <w:r w:rsidRPr="0071505D">
        <w:rPr>
          <w:rFonts w:ascii="Symbol" w:hAnsi="Symbol" w:cs="Times New Roman"/>
          <w:sz w:val="24"/>
          <w:szCs w:val="24"/>
        </w:rPr>
        <w:t>a</w:t>
      </w:r>
      <w:r>
        <w:rPr>
          <w:rFonts w:ascii="Times New Roman" w:hAnsi="Times New Roman" w:cs="Times New Roman"/>
          <w:sz w:val="24"/>
          <w:szCs w:val="24"/>
        </w:rPr>
        <w:t xml:space="preserve">- et </w:t>
      </w:r>
      <w:r w:rsidRPr="0071505D">
        <w:rPr>
          <w:rFonts w:ascii="Symbol" w:hAnsi="Symbol" w:cs="Times New Roman"/>
          <w:sz w:val="24"/>
          <w:szCs w:val="24"/>
        </w:rPr>
        <w:t>b</w:t>
      </w:r>
      <w:r>
        <w:rPr>
          <w:rFonts w:ascii="Times New Roman" w:hAnsi="Times New Roman" w:cs="Times New Roman"/>
          <w:sz w:val="24"/>
          <w:szCs w:val="24"/>
        </w:rPr>
        <w:t xml:space="preserve">-glucose) la forme </w:t>
      </w:r>
      <w:r w:rsidRPr="0071505D">
        <w:rPr>
          <w:rFonts w:ascii="Symbol" w:hAnsi="Symbol" w:cs="Times New Roman"/>
          <w:sz w:val="24"/>
          <w:szCs w:val="24"/>
        </w:rPr>
        <w:t>b</w:t>
      </w:r>
      <w:r>
        <w:rPr>
          <w:rFonts w:ascii="Times New Roman" w:hAnsi="Times New Roman" w:cs="Times New Roman"/>
          <w:sz w:val="24"/>
          <w:szCs w:val="24"/>
        </w:rPr>
        <w:t xml:space="preserve"> étant majoritaire. Ses nombreux </w:t>
      </w:r>
      <w:r w:rsidR="007C56F2">
        <w:rPr>
          <w:rFonts w:ascii="Times New Roman" w:hAnsi="Times New Roman" w:cs="Times New Roman"/>
          <w:sz w:val="24"/>
          <w:szCs w:val="24"/>
        </w:rPr>
        <w:t xml:space="preserve">groupements </w:t>
      </w:r>
      <w:r>
        <w:rPr>
          <w:rFonts w:ascii="Times New Roman" w:hAnsi="Times New Roman" w:cs="Times New Roman"/>
          <w:sz w:val="24"/>
          <w:szCs w:val="24"/>
        </w:rPr>
        <w:t>alcools (-OH) le rendent très hydrophile.</w:t>
      </w:r>
    </w:p>
    <w:p w14:paraId="7D570857" w14:textId="52CFA914" w:rsidR="00E70E12" w:rsidRDefault="0071505D" w:rsidP="00FC0473">
      <w:pPr>
        <w:jc w:val="both"/>
        <w:rPr>
          <w:rFonts w:ascii="Times New Roman" w:hAnsi="Times New Roman" w:cs="Times New Roman"/>
          <w:sz w:val="24"/>
          <w:szCs w:val="24"/>
        </w:rPr>
      </w:pPr>
      <w:r>
        <w:rPr>
          <w:rFonts w:ascii="Times New Roman" w:hAnsi="Times New Roman" w:cs="Times New Roman"/>
          <w:sz w:val="24"/>
          <w:szCs w:val="24"/>
        </w:rPr>
        <w:lastRenderedPageBreak/>
        <w:t>Le glucose</w:t>
      </w:r>
      <w:r w:rsidR="00A44101">
        <w:rPr>
          <w:rFonts w:ascii="Times New Roman" w:hAnsi="Times New Roman" w:cs="Times New Roman"/>
          <w:sz w:val="24"/>
          <w:szCs w:val="24"/>
        </w:rPr>
        <w:t xml:space="preserve"> </w:t>
      </w:r>
      <w:r w:rsidR="00E70E12">
        <w:rPr>
          <w:rFonts w:ascii="Times New Roman" w:hAnsi="Times New Roman" w:cs="Times New Roman"/>
          <w:sz w:val="24"/>
          <w:szCs w:val="24"/>
        </w:rPr>
        <w:t>est le nutriment majeur des cellules animales, leur permettant notamment d’obtenir leur énergie de fonctionnement (sous forme d’</w:t>
      </w:r>
      <w:r w:rsidR="00800D2F">
        <w:rPr>
          <w:rFonts w:ascii="Times New Roman" w:hAnsi="Times New Roman" w:cs="Times New Roman"/>
          <w:sz w:val="24"/>
          <w:szCs w:val="24"/>
        </w:rPr>
        <w:t xml:space="preserve">adénosine triphosphate : </w:t>
      </w:r>
      <w:r w:rsidR="00E70E12">
        <w:rPr>
          <w:rFonts w:ascii="Times New Roman" w:hAnsi="Times New Roman" w:cs="Times New Roman"/>
          <w:sz w:val="24"/>
          <w:szCs w:val="24"/>
        </w:rPr>
        <w:t>ATP) au cours de sa dégradation.</w:t>
      </w:r>
      <w:r w:rsidR="007565A7">
        <w:rPr>
          <w:rFonts w:ascii="Times New Roman" w:hAnsi="Times New Roman" w:cs="Times New Roman"/>
          <w:sz w:val="24"/>
          <w:szCs w:val="24"/>
        </w:rPr>
        <w:t xml:space="preserve"> Plusieurs types de ports ont été caractérisés pour l’entrée du glucose dans les cellules animales, avec quelques différences de structure et/ou de fonctionnement selon l’organe concerné.</w:t>
      </w:r>
      <w:r w:rsidR="00A44101">
        <w:rPr>
          <w:rFonts w:ascii="Times New Roman" w:hAnsi="Times New Roman" w:cs="Times New Roman"/>
          <w:sz w:val="24"/>
          <w:szCs w:val="24"/>
        </w:rPr>
        <w:t xml:space="preserve"> Sur les douze transporteurs de glucose</w:t>
      </w:r>
      <w:r w:rsidR="00800D2F">
        <w:rPr>
          <w:rFonts w:ascii="Times New Roman" w:hAnsi="Times New Roman" w:cs="Times New Roman"/>
          <w:sz w:val="24"/>
          <w:szCs w:val="24"/>
        </w:rPr>
        <w:t xml:space="preserve"> (GLUT</w:t>
      </w:r>
      <w:r w:rsidR="002068C2">
        <w:rPr>
          <w:rFonts w:ascii="Times New Roman" w:hAnsi="Times New Roman" w:cs="Times New Roman"/>
          <w:sz w:val="24"/>
          <w:szCs w:val="24"/>
        </w:rPr>
        <w:t>/</w:t>
      </w:r>
      <w:r w:rsidR="002068C2" w:rsidRPr="002068C2">
        <w:rPr>
          <w:rFonts w:ascii="Times New Roman" w:hAnsi="Times New Roman" w:cs="Times New Roman"/>
          <w:i/>
          <w:iCs/>
          <w:sz w:val="24"/>
          <w:szCs w:val="24"/>
        </w:rPr>
        <w:t>glucose transporter</w:t>
      </w:r>
      <w:r w:rsidR="00800D2F">
        <w:rPr>
          <w:rFonts w:ascii="Times New Roman" w:hAnsi="Times New Roman" w:cs="Times New Roman"/>
          <w:sz w:val="24"/>
          <w:szCs w:val="24"/>
        </w:rPr>
        <w:t>)</w:t>
      </w:r>
      <w:r w:rsidR="00A44101">
        <w:rPr>
          <w:rFonts w:ascii="Times New Roman" w:hAnsi="Times New Roman" w:cs="Times New Roman"/>
          <w:sz w:val="24"/>
          <w:szCs w:val="24"/>
        </w:rPr>
        <w:t xml:space="preserve"> recensés, le transporteur 4 ou GLUT4 sera pris comme exemple ci-dessous, en raison de sa grand importance énergétique (présence dans les tissus adipeux et musculaires) et de sa sensibilité à l’insuline, hormone majeure </w:t>
      </w:r>
      <w:r w:rsidR="007601CB">
        <w:rPr>
          <w:rFonts w:ascii="Times New Roman" w:hAnsi="Times New Roman" w:cs="Times New Roman"/>
          <w:sz w:val="24"/>
          <w:szCs w:val="24"/>
        </w:rPr>
        <w:t>du contrôle glycémique (la glycémie représentant le taux sanguin de glucose,</w:t>
      </w:r>
      <w:r w:rsidR="00C5388C">
        <w:rPr>
          <w:rFonts w:ascii="Times New Roman" w:hAnsi="Times New Roman" w:cs="Times New Roman"/>
          <w:sz w:val="24"/>
          <w:szCs w:val="24"/>
        </w:rPr>
        <w:t xml:space="preserve"> avec</w:t>
      </w:r>
      <w:r w:rsidR="007601CB">
        <w:rPr>
          <w:rFonts w:ascii="Times New Roman" w:hAnsi="Times New Roman" w:cs="Times New Roman"/>
          <w:sz w:val="24"/>
          <w:szCs w:val="24"/>
        </w:rPr>
        <w:t xml:space="preserve"> </w:t>
      </w:r>
      <w:r w:rsidR="00C5388C">
        <w:rPr>
          <w:rFonts w:ascii="Times New Roman" w:hAnsi="Times New Roman" w:cs="Times New Roman"/>
          <w:sz w:val="24"/>
          <w:szCs w:val="24"/>
        </w:rPr>
        <w:t>l’hyperglycémie</w:t>
      </w:r>
      <w:r w:rsidR="0045416A">
        <w:rPr>
          <w:rFonts w:ascii="Times New Roman" w:hAnsi="Times New Roman" w:cs="Times New Roman"/>
          <w:sz w:val="24"/>
          <w:szCs w:val="24"/>
        </w:rPr>
        <w:t xml:space="preserve"> comme</w:t>
      </w:r>
      <w:r w:rsidR="00C5388C">
        <w:rPr>
          <w:rFonts w:ascii="Times New Roman" w:hAnsi="Times New Roman" w:cs="Times New Roman"/>
          <w:sz w:val="24"/>
          <w:szCs w:val="24"/>
        </w:rPr>
        <w:t xml:space="preserve"> </w:t>
      </w:r>
      <w:r w:rsidR="007601CB">
        <w:rPr>
          <w:rFonts w:ascii="Times New Roman" w:hAnsi="Times New Roman" w:cs="Times New Roman"/>
          <w:sz w:val="24"/>
          <w:szCs w:val="24"/>
        </w:rPr>
        <w:t xml:space="preserve">marqueur circulant du diabète). La figure 4 schématise l’entrée cellulaire du glucose </w:t>
      </w:r>
      <w:r w:rsidR="007601CB" w:rsidRPr="007601CB">
        <w:rPr>
          <w:rFonts w:ascii="Times New Roman" w:hAnsi="Times New Roman" w:cs="Times New Roman"/>
          <w:i/>
          <w:iCs/>
          <w:sz w:val="24"/>
          <w:szCs w:val="24"/>
        </w:rPr>
        <w:t>via</w:t>
      </w:r>
      <w:r w:rsidR="007601CB">
        <w:rPr>
          <w:rFonts w:ascii="Times New Roman" w:hAnsi="Times New Roman" w:cs="Times New Roman"/>
          <w:sz w:val="24"/>
          <w:szCs w:val="24"/>
        </w:rPr>
        <w:t xml:space="preserve"> GLUT4, uniport régulé par l’insuline. </w:t>
      </w:r>
      <w:r w:rsidR="003D1DC3">
        <w:rPr>
          <w:rFonts w:ascii="Times New Roman" w:hAnsi="Times New Roman" w:cs="Times New Roman"/>
          <w:sz w:val="24"/>
          <w:szCs w:val="24"/>
        </w:rPr>
        <w:t>Cette régulation</w:t>
      </w:r>
      <w:r w:rsidR="007601CB">
        <w:rPr>
          <w:rFonts w:ascii="Times New Roman" w:hAnsi="Times New Roman" w:cs="Times New Roman"/>
          <w:sz w:val="24"/>
          <w:szCs w:val="24"/>
        </w:rPr>
        <w:t xml:space="preserve"> par l’insuline </w:t>
      </w:r>
      <w:r w:rsidR="003D1DC3">
        <w:rPr>
          <w:rFonts w:ascii="Times New Roman" w:hAnsi="Times New Roman" w:cs="Times New Roman"/>
          <w:sz w:val="24"/>
          <w:szCs w:val="24"/>
        </w:rPr>
        <w:t xml:space="preserve">a lieu </w:t>
      </w:r>
      <w:r w:rsidR="007601CB" w:rsidRPr="007601CB">
        <w:rPr>
          <w:rFonts w:ascii="Times New Roman" w:hAnsi="Times New Roman" w:cs="Times New Roman"/>
          <w:i/>
          <w:iCs/>
          <w:sz w:val="24"/>
          <w:szCs w:val="24"/>
        </w:rPr>
        <w:t>via</w:t>
      </w:r>
      <w:r w:rsidR="007601CB">
        <w:rPr>
          <w:rFonts w:ascii="Times New Roman" w:hAnsi="Times New Roman" w:cs="Times New Roman"/>
          <w:sz w:val="24"/>
          <w:szCs w:val="24"/>
        </w:rPr>
        <w:t xml:space="preserve"> un récepteur spécifique, inopérant dans les cellules pathologiques </w:t>
      </w:r>
      <w:r w:rsidR="00C5388C">
        <w:rPr>
          <w:rFonts w:ascii="Times New Roman" w:hAnsi="Times New Roman" w:cs="Times New Roman"/>
          <w:sz w:val="24"/>
          <w:szCs w:val="24"/>
        </w:rPr>
        <w:t>(</w:t>
      </w:r>
      <w:r w:rsidR="007601CB">
        <w:rPr>
          <w:rFonts w:ascii="Times New Roman" w:hAnsi="Times New Roman" w:cs="Times New Roman"/>
          <w:sz w:val="24"/>
          <w:szCs w:val="24"/>
        </w:rPr>
        <w:t>qui n’y répondent pas</w:t>
      </w:r>
      <w:r w:rsidR="003D1DC3">
        <w:rPr>
          <w:rFonts w:ascii="Times New Roman" w:hAnsi="Times New Roman" w:cs="Times New Roman"/>
          <w:sz w:val="24"/>
          <w:szCs w:val="24"/>
        </w:rPr>
        <w:t xml:space="preserve"> ou mal</w:t>
      </w:r>
      <w:r w:rsidR="00C5388C">
        <w:rPr>
          <w:rFonts w:ascii="Times New Roman" w:hAnsi="Times New Roman" w:cs="Times New Roman"/>
          <w:sz w:val="24"/>
          <w:szCs w:val="24"/>
        </w:rPr>
        <w:t>)</w:t>
      </w:r>
      <w:r w:rsidR="007601CB">
        <w:rPr>
          <w:rFonts w:ascii="Times New Roman" w:hAnsi="Times New Roman" w:cs="Times New Roman"/>
          <w:sz w:val="24"/>
          <w:szCs w:val="24"/>
        </w:rPr>
        <w:t xml:space="preserve"> ce qui caractérise le diabète de type-2</w:t>
      </w:r>
      <w:r w:rsidR="003D1DC3">
        <w:rPr>
          <w:rFonts w:ascii="Times New Roman" w:hAnsi="Times New Roman" w:cs="Times New Roman"/>
          <w:sz w:val="24"/>
          <w:szCs w:val="24"/>
        </w:rPr>
        <w:t>. Le diabète de type-2 correspond à</w:t>
      </w:r>
      <w:r w:rsidR="007601CB">
        <w:rPr>
          <w:rFonts w:ascii="Times New Roman" w:hAnsi="Times New Roman" w:cs="Times New Roman"/>
          <w:sz w:val="24"/>
          <w:szCs w:val="24"/>
        </w:rPr>
        <w:t xml:space="preserve"> environ 90% du </w:t>
      </w:r>
      <w:r w:rsidR="007906E5">
        <w:rPr>
          <w:rFonts w:ascii="Times New Roman" w:hAnsi="Times New Roman" w:cs="Times New Roman"/>
          <w:sz w:val="24"/>
          <w:szCs w:val="24"/>
        </w:rPr>
        <w:t xml:space="preserve">syndrome </w:t>
      </w:r>
      <w:r w:rsidR="007601CB">
        <w:rPr>
          <w:rFonts w:ascii="Times New Roman" w:hAnsi="Times New Roman" w:cs="Times New Roman"/>
          <w:sz w:val="24"/>
          <w:szCs w:val="24"/>
        </w:rPr>
        <w:t>diab</w:t>
      </w:r>
      <w:r w:rsidR="007906E5">
        <w:rPr>
          <w:rFonts w:ascii="Times New Roman" w:hAnsi="Times New Roman" w:cs="Times New Roman"/>
          <w:sz w:val="24"/>
          <w:szCs w:val="24"/>
        </w:rPr>
        <w:t>étique</w:t>
      </w:r>
      <w:r w:rsidR="007601CB">
        <w:rPr>
          <w:rFonts w:ascii="Times New Roman" w:hAnsi="Times New Roman" w:cs="Times New Roman"/>
          <w:sz w:val="24"/>
          <w:szCs w:val="24"/>
        </w:rPr>
        <w:t xml:space="preserve"> chez l’Homme</w:t>
      </w:r>
      <w:r w:rsidR="00967926">
        <w:rPr>
          <w:rFonts w:ascii="Times New Roman" w:hAnsi="Times New Roman" w:cs="Times New Roman"/>
          <w:sz w:val="24"/>
          <w:szCs w:val="24"/>
        </w:rPr>
        <w:t>. Chez les diabétiques de type-1, le GLUT4 fonctionne normalement (sensibilité</w:t>
      </w:r>
      <w:r w:rsidR="003D1DC3">
        <w:rPr>
          <w:rFonts w:ascii="Times New Roman" w:hAnsi="Times New Roman" w:cs="Times New Roman"/>
          <w:sz w:val="24"/>
          <w:szCs w:val="24"/>
        </w:rPr>
        <w:t xml:space="preserve"> normale</w:t>
      </w:r>
      <w:r w:rsidR="00967926">
        <w:rPr>
          <w:rFonts w:ascii="Times New Roman" w:hAnsi="Times New Roman" w:cs="Times New Roman"/>
          <w:sz w:val="24"/>
          <w:szCs w:val="24"/>
        </w:rPr>
        <w:t xml:space="preserve"> à l’insuline), mais la production pancréatique de cette hormone est anormale, voire </w:t>
      </w:r>
      <w:r w:rsidR="00C5388C">
        <w:rPr>
          <w:rFonts w:ascii="Times New Roman" w:hAnsi="Times New Roman" w:cs="Times New Roman"/>
          <w:sz w:val="24"/>
          <w:szCs w:val="24"/>
        </w:rPr>
        <w:t>absente</w:t>
      </w:r>
      <w:r w:rsidR="00967926">
        <w:rPr>
          <w:rFonts w:ascii="Times New Roman" w:hAnsi="Times New Roman" w:cs="Times New Roman"/>
          <w:sz w:val="24"/>
          <w:szCs w:val="24"/>
        </w:rPr>
        <w:t>.</w:t>
      </w:r>
    </w:p>
    <w:p w14:paraId="3FC27F29" w14:textId="62B3EABE" w:rsidR="00F91012" w:rsidRDefault="00F91012" w:rsidP="00FC0473">
      <w:pPr>
        <w:jc w:val="both"/>
        <w:rPr>
          <w:rFonts w:ascii="Times New Roman" w:hAnsi="Times New Roman" w:cs="Times New Roman"/>
          <w:sz w:val="24"/>
          <w:szCs w:val="24"/>
        </w:rPr>
      </w:pPr>
      <w:r>
        <w:rPr>
          <w:noProof/>
        </w:rPr>
        <w:drawing>
          <wp:inline distT="0" distB="0" distL="0" distR="0" wp14:anchorId="2B4176E2" wp14:editId="544B1202">
            <wp:extent cx="2862728" cy="2091508"/>
            <wp:effectExtent l="0" t="0" r="0" b="4445"/>
            <wp:docPr id="2050" name="Picture 2" descr="Diabète non insulino-dépendant, diabète de type 2, DNID : symptômes,  traitement, définition - docteurclic.com">
              <a:extLst xmlns:a="http://schemas.openxmlformats.org/drawingml/2006/main">
                <a:ext uri="{FF2B5EF4-FFF2-40B4-BE49-F238E27FC236}">
                  <a16:creationId xmlns:a16="http://schemas.microsoft.com/office/drawing/2014/main" id="{CEEC61AC-5823-2302-3241-9D0B5152726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Diabète non insulino-dépendant, diabète de type 2, DNID : symptômes,  traitement, définition - docteurclic.com">
                      <a:extLst>
                        <a:ext uri="{FF2B5EF4-FFF2-40B4-BE49-F238E27FC236}">
                          <a16:creationId xmlns:a16="http://schemas.microsoft.com/office/drawing/2014/main" id="{CEEC61AC-5823-2302-3241-9D0B51527264}"/>
                        </a:ext>
                      </a:extLs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74201" cy="2099890"/>
                    </a:xfrm>
                    <a:prstGeom prst="rect">
                      <a:avLst/>
                    </a:prstGeom>
                    <a:noFill/>
                  </pic:spPr>
                </pic:pic>
              </a:graphicData>
            </a:graphic>
          </wp:inline>
        </w:drawing>
      </w:r>
    </w:p>
    <w:p w14:paraId="5E0C3355" w14:textId="3A7E5FA4" w:rsidR="00E67DF8" w:rsidRDefault="00B86647" w:rsidP="00FC0473">
      <w:pPr>
        <w:jc w:val="both"/>
        <w:rPr>
          <w:rFonts w:ascii="Times New Roman" w:hAnsi="Times New Roman" w:cs="Times New Roman"/>
          <w:sz w:val="24"/>
          <w:szCs w:val="24"/>
        </w:rPr>
      </w:pPr>
      <w:r w:rsidRPr="00F91012">
        <w:rPr>
          <w:rFonts w:ascii="Times New Roman" w:hAnsi="Times New Roman" w:cs="Times New Roman"/>
          <w:b/>
          <w:bCs/>
          <w:sz w:val="24"/>
          <w:szCs w:val="24"/>
        </w:rPr>
        <w:t>Figure 4.</w:t>
      </w:r>
      <w:r>
        <w:rPr>
          <w:rFonts w:ascii="Times New Roman" w:hAnsi="Times New Roman" w:cs="Times New Roman"/>
          <w:sz w:val="24"/>
          <w:szCs w:val="24"/>
        </w:rPr>
        <w:t xml:space="preserve"> </w:t>
      </w:r>
      <w:r w:rsidR="00F91012">
        <w:rPr>
          <w:rFonts w:ascii="Times New Roman" w:hAnsi="Times New Roman" w:cs="Times New Roman"/>
          <w:sz w:val="24"/>
          <w:szCs w:val="24"/>
        </w:rPr>
        <w:t xml:space="preserve">Ce schéma montre deux cellules, l’une normale (en haut) répond à l’insuline (sécrétée par le pancréas) et l’autre anormale (en bas) ne répond pas à l’insuline (diabète </w:t>
      </w:r>
      <w:r w:rsidR="007906E5">
        <w:rPr>
          <w:rFonts w:ascii="Times New Roman" w:hAnsi="Times New Roman" w:cs="Times New Roman"/>
          <w:sz w:val="24"/>
          <w:szCs w:val="24"/>
        </w:rPr>
        <w:t xml:space="preserve">de </w:t>
      </w:r>
      <w:r w:rsidR="00F91012">
        <w:rPr>
          <w:rFonts w:ascii="Times New Roman" w:hAnsi="Times New Roman" w:cs="Times New Roman"/>
          <w:sz w:val="24"/>
          <w:szCs w:val="24"/>
        </w:rPr>
        <w:t>type-2), pourtant bien sécrétée par le pancréas. Cette absence de réponse à l’insuline, due à un défaut de son récepteur (non explicité ici), se traduit par l’absence d’ancrage du GLUT4 dans la membrane, à l’inverse de la situation normale (en haut).</w:t>
      </w:r>
    </w:p>
    <w:p w14:paraId="350EF7B5" w14:textId="77777777" w:rsidR="003C56D6" w:rsidRDefault="003C56D6" w:rsidP="00FC0473">
      <w:pPr>
        <w:jc w:val="both"/>
        <w:rPr>
          <w:rFonts w:ascii="Times New Roman" w:hAnsi="Times New Roman" w:cs="Times New Roman"/>
          <w:sz w:val="24"/>
          <w:szCs w:val="24"/>
        </w:rPr>
      </w:pPr>
    </w:p>
    <w:p w14:paraId="31F1E8CB" w14:textId="3FF05310" w:rsidR="003D1DC3" w:rsidRPr="006B3E33" w:rsidRDefault="003D1DC3" w:rsidP="00FC0473">
      <w:pPr>
        <w:jc w:val="both"/>
        <w:rPr>
          <w:rFonts w:ascii="Times New Roman" w:hAnsi="Times New Roman" w:cs="Times New Roman"/>
          <w:b/>
          <w:bCs/>
          <w:sz w:val="24"/>
          <w:szCs w:val="24"/>
        </w:rPr>
      </w:pPr>
      <w:r w:rsidRPr="006B3E33">
        <w:rPr>
          <w:rFonts w:ascii="Times New Roman" w:hAnsi="Times New Roman" w:cs="Times New Roman"/>
          <w:b/>
          <w:bCs/>
          <w:sz w:val="24"/>
          <w:szCs w:val="24"/>
        </w:rPr>
        <w:t>Exemple d’antiport : échange potassium/sodium.</w:t>
      </w:r>
    </w:p>
    <w:p w14:paraId="41F63B59" w14:textId="114E16E6" w:rsidR="003D1DC3" w:rsidRDefault="006B3E33" w:rsidP="00FC0473">
      <w:pPr>
        <w:jc w:val="both"/>
        <w:rPr>
          <w:rFonts w:ascii="Times New Roman" w:hAnsi="Times New Roman" w:cs="Times New Roman"/>
          <w:sz w:val="24"/>
          <w:szCs w:val="24"/>
        </w:rPr>
      </w:pPr>
      <w:r>
        <w:rPr>
          <w:rFonts w:ascii="Times New Roman" w:hAnsi="Times New Roman" w:cs="Times New Roman"/>
          <w:sz w:val="24"/>
          <w:szCs w:val="24"/>
        </w:rPr>
        <w:t>L’ion potassium (K</w:t>
      </w:r>
      <w:r w:rsidRPr="006B3E33">
        <w:rPr>
          <w:rFonts w:ascii="Times New Roman" w:hAnsi="Times New Roman" w:cs="Times New Roman"/>
          <w:b/>
          <w:bCs/>
          <w:sz w:val="24"/>
          <w:szCs w:val="24"/>
          <w:vertAlign w:val="superscript"/>
        </w:rPr>
        <w:t>+</w:t>
      </w:r>
      <w:r>
        <w:rPr>
          <w:rFonts w:ascii="Times New Roman" w:hAnsi="Times New Roman" w:cs="Times New Roman"/>
          <w:sz w:val="24"/>
          <w:szCs w:val="24"/>
        </w:rPr>
        <w:t>) est majoritaire dans les cellules animales, comparativement au plasma</w:t>
      </w:r>
      <w:r w:rsidR="00DA1D33">
        <w:rPr>
          <w:rFonts w:ascii="Times New Roman" w:hAnsi="Times New Roman" w:cs="Times New Roman"/>
          <w:sz w:val="24"/>
          <w:szCs w:val="24"/>
        </w:rPr>
        <w:t xml:space="preserve"> sanguin</w:t>
      </w:r>
      <w:r>
        <w:rPr>
          <w:rFonts w:ascii="Times New Roman" w:hAnsi="Times New Roman" w:cs="Times New Roman"/>
          <w:sz w:val="24"/>
          <w:szCs w:val="24"/>
        </w:rPr>
        <w:t>, situation inverse de celle de l’ion sodium (Na</w:t>
      </w:r>
      <w:r w:rsidRPr="006B3E33">
        <w:rPr>
          <w:rFonts w:ascii="Times New Roman" w:hAnsi="Times New Roman" w:cs="Times New Roman"/>
          <w:b/>
          <w:bCs/>
          <w:sz w:val="24"/>
          <w:szCs w:val="24"/>
          <w:vertAlign w:val="superscript"/>
        </w:rPr>
        <w:t>+</w:t>
      </w:r>
      <w:r>
        <w:rPr>
          <w:rFonts w:ascii="Times New Roman" w:hAnsi="Times New Roman" w:cs="Times New Roman"/>
          <w:sz w:val="24"/>
          <w:szCs w:val="24"/>
        </w:rPr>
        <w:t>). Pour éviter la sortie de K</w:t>
      </w:r>
      <w:r w:rsidRPr="006B3E33">
        <w:rPr>
          <w:rFonts w:ascii="Times New Roman" w:hAnsi="Times New Roman" w:cs="Times New Roman"/>
          <w:b/>
          <w:bCs/>
          <w:sz w:val="24"/>
          <w:szCs w:val="24"/>
          <w:vertAlign w:val="superscript"/>
        </w:rPr>
        <w:t>+</w:t>
      </w:r>
      <w:r>
        <w:rPr>
          <w:rFonts w:ascii="Times New Roman" w:hAnsi="Times New Roman" w:cs="Times New Roman"/>
          <w:sz w:val="24"/>
          <w:szCs w:val="24"/>
        </w:rPr>
        <w:t xml:space="preserve"> de la cellule au profit</w:t>
      </w:r>
      <w:r w:rsidR="00CC1864">
        <w:rPr>
          <w:rFonts w:ascii="Times New Roman" w:hAnsi="Times New Roman" w:cs="Times New Roman"/>
          <w:sz w:val="24"/>
          <w:szCs w:val="24"/>
        </w:rPr>
        <w:t xml:space="preserve"> </w:t>
      </w:r>
      <w:r>
        <w:rPr>
          <w:rFonts w:ascii="Times New Roman" w:hAnsi="Times New Roman" w:cs="Times New Roman"/>
          <w:sz w:val="24"/>
          <w:szCs w:val="24"/>
        </w:rPr>
        <w:t>de l’entrée du Na</w:t>
      </w:r>
      <w:r w:rsidRPr="006B3E33">
        <w:rPr>
          <w:rFonts w:ascii="Times New Roman" w:hAnsi="Times New Roman" w:cs="Times New Roman"/>
          <w:b/>
          <w:bCs/>
          <w:sz w:val="24"/>
          <w:szCs w:val="24"/>
          <w:vertAlign w:val="superscript"/>
        </w:rPr>
        <w:t>+</w:t>
      </w:r>
      <w:r>
        <w:rPr>
          <w:rFonts w:ascii="Times New Roman" w:hAnsi="Times New Roman" w:cs="Times New Roman"/>
          <w:sz w:val="24"/>
          <w:szCs w:val="24"/>
        </w:rPr>
        <w:t>,</w:t>
      </w:r>
      <w:r w:rsidR="00DA1D33">
        <w:rPr>
          <w:rFonts w:ascii="Times New Roman" w:hAnsi="Times New Roman" w:cs="Times New Roman"/>
          <w:sz w:val="24"/>
          <w:szCs w:val="24"/>
        </w:rPr>
        <w:t xml:space="preserve"> en réponse à l</w:t>
      </w:r>
      <w:r w:rsidR="005B420B">
        <w:rPr>
          <w:rFonts w:ascii="Times New Roman" w:hAnsi="Times New Roman" w:cs="Times New Roman"/>
          <w:sz w:val="24"/>
          <w:szCs w:val="24"/>
        </w:rPr>
        <w:t>eur</w:t>
      </w:r>
      <w:r w:rsidR="00DA1D33">
        <w:rPr>
          <w:rFonts w:ascii="Times New Roman" w:hAnsi="Times New Roman" w:cs="Times New Roman"/>
          <w:sz w:val="24"/>
          <w:szCs w:val="24"/>
        </w:rPr>
        <w:t xml:space="preserve"> différence de</w:t>
      </w:r>
      <w:r w:rsidR="008B4B77">
        <w:rPr>
          <w:rFonts w:ascii="Times New Roman" w:hAnsi="Times New Roman" w:cs="Times New Roman"/>
          <w:sz w:val="24"/>
          <w:szCs w:val="24"/>
        </w:rPr>
        <w:t xml:space="preserve"> </w:t>
      </w:r>
      <w:r w:rsidR="00DA1D33">
        <w:rPr>
          <w:rFonts w:ascii="Times New Roman" w:hAnsi="Times New Roman" w:cs="Times New Roman"/>
          <w:sz w:val="24"/>
          <w:szCs w:val="24"/>
        </w:rPr>
        <w:t>concentrations</w:t>
      </w:r>
      <w:r w:rsidR="00C75976">
        <w:rPr>
          <w:rFonts w:ascii="Times New Roman" w:hAnsi="Times New Roman" w:cs="Times New Roman"/>
          <w:sz w:val="24"/>
          <w:szCs w:val="24"/>
        </w:rPr>
        <w:t xml:space="preserve"> de part et d’autre de la membrane</w:t>
      </w:r>
      <w:r w:rsidR="00DA1D33">
        <w:rPr>
          <w:rFonts w:ascii="Times New Roman" w:hAnsi="Times New Roman" w:cs="Times New Roman"/>
          <w:sz w:val="24"/>
          <w:szCs w:val="24"/>
        </w:rPr>
        <w:t>,</w:t>
      </w:r>
      <w:r>
        <w:rPr>
          <w:rFonts w:ascii="Times New Roman" w:hAnsi="Times New Roman" w:cs="Times New Roman"/>
          <w:sz w:val="24"/>
          <w:szCs w:val="24"/>
        </w:rPr>
        <w:t xml:space="preserve"> un antiport p</w:t>
      </w:r>
      <w:r w:rsidR="00CC1864">
        <w:rPr>
          <w:rFonts w:ascii="Times New Roman" w:hAnsi="Times New Roman" w:cs="Times New Roman"/>
          <w:sz w:val="24"/>
          <w:szCs w:val="24"/>
        </w:rPr>
        <w:t>ermet</w:t>
      </w:r>
      <w:r>
        <w:rPr>
          <w:rFonts w:ascii="Times New Roman" w:hAnsi="Times New Roman" w:cs="Times New Roman"/>
          <w:sz w:val="24"/>
          <w:szCs w:val="24"/>
        </w:rPr>
        <w:t xml:space="preserve"> l’entrée permanente du premier et la sortie concomitante du deuxième. Cet antiport est aussi</w:t>
      </w:r>
      <w:r w:rsidR="006723D2">
        <w:rPr>
          <w:rFonts w:ascii="Times New Roman" w:hAnsi="Times New Roman" w:cs="Times New Roman"/>
          <w:sz w:val="24"/>
          <w:szCs w:val="24"/>
        </w:rPr>
        <w:t xml:space="preserve"> appelé</w:t>
      </w:r>
      <w:r>
        <w:rPr>
          <w:rFonts w:ascii="Times New Roman" w:hAnsi="Times New Roman" w:cs="Times New Roman"/>
          <w:sz w:val="24"/>
          <w:szCs w:val="24"/>
        </w:rPr>
        <w:t xml:space="preserve"> Na</w:t>
      </w:r>
      <w:r w:rsidRPr="006B3E33">
        <w:rPr>
          <w:rFonts w:ascii="Times New Roman" w:hAnsi="Times New Roman" w:cs="Times New Roman"/>
          <w:b/>
          <w:bCs/>
          <w:sz w:val="24"/>
          <w:szCs w:val="24"/>
          <w:vertAlign w:val="superscript"/>
        </w:rPr>
        <w:t>+</w:t>
      </w:r>
      <w:r>
        <w:rPr>
          <w:rFonts w:ascii="Times New Roman" w:hAnsi="Times New Roman" w:cs="Times New Roman"/>
          <w:sz w:val="24"/>
          <w:szCs w:val="24"/>
        </w:rPr>
        <w:t>/K</w:t>
      </w:r>
      <w:r w:rsidRPr="006B3E33">
        <w:rPr>
          <w:rFonts w:ascii="Times New Roman" w:hAnsi="Times New Roman" w:cs="Times New Roman"/>
          <w:b/>
          <w:bCs/>
          <w:sz w:val="24"/>
          <w:szCs w:val="24"/>
          <w:vertAlign w:val="superscript"/>
        </w:rPr>
        <w:t>+</w:t>
      </w:r>
      <w:r>
        <w:rPr>
          <w:rFonts w:ascii="Times New Roman" w:hAnsi="Times New Roman" w:cs="Times New Roman"/>
          <w:sz w:val="24"/>
          <w:szCs w:val="24"/>
        </w:rPr>
        <w:t xml:space="preserve"> ATPase</w:t>
      </w:r>
      <w:r w:rsidR="006723D2">
        <w:rPr>
          <w:rFonts w:ascii="Times New Roman" w:hAnsi="Times New Roman" w:cs="Times New Roman"/>
          <w:sz w:val="24"/>
          <w:szCs w:val="24"/>
        </w:rPr>
        <w:t xml:space="preserve"> ou pompe Na</w:t>
      </w:r>
      <w:r w:rsidR="006723D2" w:rsidRPr="006723D2">
        <w:rPr>
          <w:rFonts w:ascii="Times New Roman" w:hAnsi="Times New Roman" w:cs="Times New Roman"/>
          <w:b/>
          <w:bCs/>
          <w:sz w:val="24"/>
          <w:szCs w:val="24"/>
          <w:vertAlign w:val="superscript"/>
        </w:rPr>
        <w:t>+</w:t>
      </w:r>
      <w:r w:rsidR="006723D2">
        <w:rPr>
          <w:rFonts w:ascii="Times New Roman" w:hAnsi="Times New Roman" w:cs="Times New Roman"/>
          <w:sz w:val="24"/>
          <w:szCs w:val="24"/>
        </w:rPr>
        <w:t>/K</w:t>
      </w:r>
      <w:r w:rsidR="006723D2" w:rsidRPr="006723D2">
        <w:rPr>
          <w:rFonts w:ascii="Times New Roman" w:hAnsi="Times New Roman" w:cs="Times New Roman"/>
          <w:b/>
          <w:bCs/>
          <w:sz w:val="24"/>
          <w:szCs w:val="24"/>
          <w:vertAlign w:val="superscript"/>
        </w:rPr>
        <w:t>+</w:t>
      </w:r>
      <w:r>
        <w:rPr>
          <w:rFonts w:ascii="Times New Roman" w:hAnsi="Times New Roman" w:cs="Times New Roman"/>
          <w:sz w:val="24"/>
          <w:szCs w:val="24"/>
        </w:rPr>
        <w:t xml:space="preserve">, car cette entrée et sortie concomitante est permise </w:t>
      </w:r>
      <w:r w:rsidR="00DA1D33">
        <w:rPr>
          <w:rFonts w:ascii="Times New Roman" w:hAnsi="Times New Roman" w:cs="Times New Roman"/>
          <w:sz w:val="24"/>
          <w:szCs w:val="24"/>
        </w:rPr>
        <w:t>grâce à</w:t>
      </w:r>
      <w:r>
        <w:rPr>
          <w:rFonts w:ascii="Times New Roman" w:hAnsi="Times New Roman" w:cs="Times New Roman"/>
          <w:sz w:val="24"/>
          <w:szCs w:val="24"/>
        </w:rPr>
        <w:t xml:space="preserve"> l’énergie </w:t>
      </w:r>
      <w:r w:rsidR="005B420B">
        <w:rPr>
          <w:rFonts w:ascii="Times New Roman" w:hAnsi="Times New Roman" w:cs="Times New Roman"/>
          <w:sz w:val="24"/>
          <w:szCs w:val="24"/>
        </w:rPr>
        <w:t>associée à</w:t>
      </w:r>
      <w:r>
        <w:rPr>
          <w:rFonts w:ascii="Times New Roman" w:hAnsi="Times New Roman" w:cs="Times New Roman"/>
          <w:sz w:val="24"/>
          <w:szCs w:val="24"/>
        </w:rPr>
        <w:t xml:space="preserve"> l’hydrolyse d’ATP</w:t>
      </w:r>
      <w:r w:rsidR="002C66D0">
        <w:rPr>
          <w:rFonts w:ascii="Times New Roman" w:hAnsi="Times New Roman" w:cs="Times New Roman"/>
          <w:sz w:val="24"/>
          <w:szCs w:val="24"/>
        </w:rPr>
        <w:t xml:space="preserve"> par l’enzyme de dégradation ATPase</w:t>
      </w:r>
      <w:r>
        <w:rPr>
          <w:rFonts w:ascii="Times New Roman" w:hAnsi="Times New Roman" w:cs="Times New Roman"/>
          <w:sz w:val="24"/>
          <w:szCs w:val="24"/>
        </w:rPr>
        <w:t>.</w:t>
      </w:r>
      <w:r w:rsidR="006723D2">
        <w:rPr>
          <w:rFonts w:ascii="Times New Roman" w:hAnsi="Times New Roman" w:cs="Times New Roman"/>
          <w:sz w:val="24"/>
          <w:szCs w:val="24"/>
        </w:rPr>
        <w:t xml:space="preserve"> Pour des raisons de tailles relatives des ions K</w:t>
      </w:r>
      <w:r w:rsidR="006723D2">
        <w:rPr>
          <w:rFonts w:ascii="Times New Roman" w:hAnsi="Times New Roman" w:cs="Times New Roman"/>
          <w:b/>
          <w:bCs/>
          <w:sz w:val="24"/>
          <w:szCs w:val="24"/>
          <w:vertAlign w:val="superscript"/>
        </w:rPr>
        <w:t xml:space="preserve">+ </w:t>
      </w:r>
      <w:r w:rsidR="006723D2">
        <w:rPr>
          <w:rFonts w:ascii="Times New Roman" w:hAnsi="Times New Roman" w:cs="Times New Roman"/>
          <w:sz w:val="24"/>
          <w:szCs w:val="24"/>
        </w:rPr>
        <w:t>et Na</w:t>
      </w:r>
      <w:r w:rsidR="006723D2" w:rsidRPr="006723D2">
        <w:rPr>
          <w:rFonts w:ascii="Times New Roman" w:hAnsi="Times New Roman" w:cs="Times New Roman"/>
          <w:b/>
          <w:bCs/>
          <w:sz w:val="24"/>
          <w:szCs w:val="24"/>
          <w:vertAlign w:val="superscript"/>
        </w:rPr>
        <w:t>+</w:t>
      </w:r>
      <w:r w:rsidR="006723D2">
        <w:rPr>
          <w:rFonts w:ascii="Times New Roman" w:hAnsi="Times New Roman" w:cs="Times New Roman"/>
          <w:sz w:val="24"/>
          <w:szCs w:val="24"/>
        </w:rPr>
        <w:t>, deux ions K</w:t>
      </w:r>
      <w:r w:rsidR="006723D2" w:rsidRPr="006723D2">
        <w:rPr>
          <w:rFonts w:ascii="Times New Roman" w:hAnsi="Times New Roman" w:cs="Times New Roman"/>
          <w:b/>
          <w:bCs/>
          <w:sz w:val="24"/>
          <w:szCs w:val="24"/>
          <w:vertAlign w:val="superscript"/>
        </w:rPr>
        <w:t>+</w:t>
      </w:r>
      <w:r w:rsidR="006723D2">
        <w:rPr>
          <w:rFonts w:ascii="Times New Roman" w:hAnsi="Times New Roman" w:cs="Times New Roman"/>
          <w:sz w:val="24"/>
          <w:szCs w:val="24"/>
        </w:rPr>
        <w:t xml:space="preserve"> entrent dans la cellule en même temps que trois ions Na</w:t>
      </w:r>
      <w:r w:rsidR="006723D2" w:rsidRPr="006723D2">
        <w:rPr>
          <w:rFonts w:ascii="Times New Roman" w:hAnsi="Times New Roman" w:cs="Times New Roman"/>
          <w:b/>
          <w:bCs/>
          <w:sz w:val="24"/>
          <w:szCs w:val="24"/>
          <w:vertAlign w:val="superscript"/>
        </w:rPr>
        <w:t>+</w:t>
      </w:r>
      <w:r w:rsidR="006723D2">
        <w:rPr>
          <w:rFonts w:ascii="Times New Roman" w:hAnsi="Times New Roman" w:cs="Times New Roman"/>
          <w:sz w:val="24"/>
          <w:szCs w:val="24"/>
        </w:rPr>
        <w:t xml:space="preserve"> en sortent</w:t>
      </w:r>
      <w:r w:rsidR="005E3104">
        <w:rPr>
          <w:rFonts w:ascii="Times New Roman" w:hAnsi="Times New Roman" w:cs="Times New Roman"/>
          <w:sz w:val="24"/>
          <w:szCs w:val="24"/>
        </w:rPr>
        <w:t>. La liaison de Na</w:t>
      </w:r>
      <w:r w:rsidR="005E3104" w:rsidRPr="005E3104">
        <w:rPr>
          <w:rFonts w:ascii="Times New Roman" w:hAnsi="Times New Roman" w:cs="Times New Roman"/>
          <w:sz w:val="24"/>
          <w:szCs w:val="24"/>
          <w:vertAlign w:val="superscript"/>
        </w:rPr>
        <w:t>+</w:t>
      </w:r>
      <w:r w:rsidR="005E3104">
        <w:rPr>
          <w:rFonts w:ascii="Times New Roman" w:hAnsi="Times New Roman" w:cs="Times New Roman"/>
          <w:sz w:val="24"/>
          <w:szCs w:val="24"/>
        </w:rPr>
        <w:t xml:space="preserve"> et K</w:t>
      </w:r>
      <w:r w:rsidR="005E3104" w:rsidRPr="005E3104">
        <w:rPr>
          <w:rFonts w:ascii="Times New Roman" w:hAnsi="Times New Roman" w:cs="Times New Roman"/>
          <w:sz w:val="24"/>
          <w:szCs w:val="24"/>
          <w:vertAlign w:val="superscript"/>
        </w:rPr>
        <w:t>+</w:t>
      </w:r>
      <w:r w:rsidR="005E3104">
        <w:rPr>
          <w:rFonts w:ascii="Times New Roman" w:hAnsi="Times New Roman" w:cs="Times New Roman"/>
          <w:sz w:val="24"/>
          <w:szCs w:val="24"/>
        </w:rPr>
        <w:t xml:space="preserve"> à l’antiport, se fait aussi par des liaisons différentes</w:t>
      </w:r>
      <w:r w:rsidR="006723D2">
        <w:rPr>
          <w:rFonts w:ascii="Times New Roman" w:hAnsi="Times New Roman" w:cs="Times New Roman"/>
          <w:sz w:val="24"/>
          <w:szCs w:val="24"/>
        </w:rPr>
        <w:t xml:space="preserve"> (Figure 5).</w:t>
      </w:r>
    </w:p>
    <w:p w14:paraId="6549E1EF" w14:textId="2B6E4CB8" w:rsidR="003C56D6" w:rsidRDefault="00576265" w:rsidP="00FC0473">
      <w:pPr>
        <w:jc w:val="both"/>
        <w:rPr>
          <w:rFonts w:ascii="Times New Roman" w:hAnsi="Times New Roman" w:cs="Times New Roman"/>
          <w:sz w:val="24"/>
          <w:szCs w:val="24"/>
        </w:rPr>
      </w:pPr>
      <w:r>
        <w:rPr>
          <w:noProof/>
        </w:rPr>
        <w:lastRenderedPageBreak/>
        <w:drawing>
          <wp:inline distT="0" distB="0" distL="0" distR="0" wp14:anchorId="4181FFC4" wp14:editId="58DD4CE3">
            <wp:extent cx="4229100" cy="2373742"/>
            <wp:effectExtent l="0" t="0" r="0" b="7620"/>
            <wp:docPr id="1026" name="Picture 2" descr="Mécanismes énergétiques liés au fonctionnement de la pompe Na+-K+ - Annale  corrigée, ancien programme | Annabac">
              <a:extLst xmlns:a="http://schemas.openxmlformats.org/drawingml/2006/main">
                <a:ext uri="{FF2B5EF4-FFF2-40B4-BE49-F238E27FC236}">
                  <a16:creationId xmlns:a16="http://schemas.microsoft.com/office/drawing/2014/main" id="{74055AFB-5F98-01C1-BF03-6063E534E3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Mécanismes énergétiques liés au fonctionnement de la pompe Na+-K+ - Annale  corrigée, ancien programme | Annabac">
                      <a:extLst>
                        <a:ext uri="{FF2B5EF4-FFF2-40B4-BE49-F238E27FC236}">
                          <a16:creationId xmlns:a16="http://schemas.microsoft.com/office/drawing/2014/main" id="{74055AFB-5F98-01C1-BF03-6063E534E32E}"/>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0878" cy="2391579"/>
                    </a:xfrm>
                    <a:prstGeom prst="rect">
                      <a:avLst/>
                    </a:prstGeom>
                    <a:noFill/>
                  </pic:spPr>
                </pic:pic>
              </a:graphicData>
            </a:graphic>
          </wp:inline>
        </w:drawing>
      </w:r>
    </w:p>
    <w:p w14:paraId="6A12E056" w14:textId="7B0A470C" w:rsidR="00576265" w:rsidRPr="00576265" w:rsidRDefault="00576265" w:rsidP="00FC0473">
      <w:pPr>
        <w:jc w:val="both"/>
        <w:rPr>
          <w:rFonts w:ascii="Times New Roman" w:hAnsi="Times New Roman" w:cs="Times New Roman"/>
          <w:sz w:val="24"/>
          <w:szCs w:val="24"/>
        </w:rPr>
      </w:pPr>
      <w:r>
        <w:rPr>
          <w:rFonts w:ascii="Times New Roman" w:hAnsi="Times New Roman" w:cs="Times New Roman"/>
          <w:b/>
          <w:bCs/>
          <w:sz w:val="24"/>
          <w:szCs w:val="24"/>
        </w:rPr>
        <w:t xml:space="preserve">Figure 5. </w:t>
      </w:r>
      <w:r>
        <w:rPr>
          <w:rFonts w:ascii="Times New Roman" w:hAnsi="Times New Roman" w:cs="Times New Roman"/>
          <w:sz w:val="24"/>
          <w:szCs w:val="24"/>
        </w:rPr>
        <w:t>Schéma de l’antiport Na</w:t>
      </w:r>
      <w:r w:rsidRPr="006723D2">
        <w:rPr>
          <w:rFonts w:ascii="Times New Roman" w:hAnsi="Times New Roman" w:cs="Times New Roman"/>
          <w:b/>
          <w:bCs/>
          <w:sz w:val="24"/>
          <w:szCs w:val="24"/>
          <w:vertAlign w:val="superscript"/>
        </w:rPr>
        <w:t>+</w:t>
      </w:r>
      <w:r>
        <w:rPr>
          <w:rFonts w:ascii="Times New Roman" w:hAnsi="Times New Roman" w:cs="Times New Roman"/>
          <w:sz w:val="24"/>
          <w:szCs w:val="24"/>
        </w:rPr>
        <w:t>/K</w:t>
      </w:r>
      <w:r w:rsidRPr="006723D2">
        <w:rPr>
          <w:rFonts w:ascii="Times New Roman" w:hAnsi="Times New Roman" w:cs="Times New Roman"/>
          <w:b/>
          <w:bCs/>
          <w:sz w:val="24"/>
          <w:szCs w:val="24"/>
          <w:vertAlign w:val="superscript"/>
        </w:rPr>
        <w:t>+</w:t>
      </w:r>
      <w:r>
        <w:rPr>
          <w:rFonts w:ascii="Times New Roman" w:hAnsi="Times New Roman" w:cs="Times New Roman"/>
          <w:sz w:val="24"/>
          <w:szCs w:val="24"/>
        </w:rPr>
        <w:t>, ancré dans une membrane plasmique, permettant l’échange</w:t>
      </w:r>
      <w:r w:rsidR="005145B0">
        <w:rPr>
          <w:rFonts w:ascii="Times New Roman" w:hAnsi="Times New Roman" w:cs="Times New Roman"/>
          <w:sz w:val="24"/>
          <w:szCs w:val="24"/>
        </w:rPr>
        <w:t xml:space="preserve"> de</w:t>
      </w:r>
      <w:r>
        <w:rPr>
          <w:rFonts w:ascii="Times New Roman" w:hAnsi="Times New Roman" w:cs="Times New Roman"/>
          <w:sz w:val="24"/>
          <w:szCs w:val="24"/>
        </w:rPr>
        <w:t xml:space="preserve"> 3 atomes de sodium (Na</w:t>
      </w:r>
      <w:r w:rsidRPr="00576265">
        <w:rPr>
          <w:rFonts w:ascii="Times New Roman" w:hAnsi="Times New Roman" w:cs="Times New Roman"/>
          <w:sz w:val="24"/>
          <w:szCs w:val="24"/>
          <w:vertAlign w:val="superscript"/>
        </w:rPr>
        <w:t>+</w:t>
      </w:r>
      <w:r>
        <w:rPr>
          <w:rFonts w:ascii="Times New Roman" w:hAnsi="Times New Roman" w:cs="Times New Roman"/>
          <w:sz w:val="24"/>
          <w:szCs w:val="24"/>
        </w:rPr>
        <w:t>) avec 2 atomes de potassium (K</w:t>
      </w:r>
      <w:r w:rsidRPr="00576265">
        <w:rPr>
          <w:rFonts w:ascii="Times New Roman" w:hAnsi="Times New Roman" w:cs="Times New Roman"/>
          <w:sz w:val="24"/>
          <w:szCs w:val="24"/>
          <w:vertAlign w:val="superscript"/>
        </w:rPr>
        <w:t>+</w:t>
      </w:r>
      <w:r>
        <w:rPr>
          <w:rFonts w:ascii="Times New Roman" w:hAnsi="Times New Roman" w:cs="Times New Roman"/>
          <w:sz w:val="24"/>
          <w:szCs w:val="24"/>
        </w:rPr>
        <w:t xml:space="preserve">), chacun étant représenté sous forme ionique (perte d’un électron), </w:t>
      </w:r>
      <w:r w:rsidR="005145B0">
        <w:rPr>
          <w:rFonts w:ascii="Times New Roman" w:hAnsi="Times New Roman" w:cs="Times New Roman"/>
          <w:sz w:val="24"/>
          <w:szCs w:val="24"/>
        </w:rPr>
        <w:t xml:space="preserve">forme normale </w:t>
      </w:r>
      <w:r>
        <w:rPr>
          <w:rFonts w:ascii="Times New Roman" w:hAnsi="Times New Roman" w:cs="Times New Roman"/>
          <w:sz w:val="24"/>
          <w:szCs w:val="24"/>
        </w:rPr>
        <w:t xml:space="preserve">permettant l’association avec </w:t>
      </w:r>
      <w:r w:rsidR="005145B0">
        <w:rPr>
          <w:rFonts w:ascii="Times New Roman" w:hAnsi="Times New Roman" w:cs="Times New Roman"/>
          <w:sz w:val="24"/>
          <w:szCs w:val="24"/>
        </w:rPr>
        <w:t xml:space="preserve">un </w:t>
      </w:r>
      <w:r>
        <w:rPr>
          <w:rFonts w:ascii="Times New Roman" w:hAnsi="Times New Roman" w:cs="Times New Roman"/>
          <w:sz w:val="24"/>
          <w:szCs w:val="24"/>
        </w:rPr>
        <w:t>atome ionisé négatif comme le chlore (Cl</w:t>
      </w:r>
      <w:r w:rsidRPr="00576265">
        <w:rPr>
          <w:rFonts w:ascii="Times New Roman" w:hAnsi="Times New Roman" w:cs="Times New Roman"/>
          <w:b/>
          <w:bCs/>
          <w:sz w:val="24"/>
          <w:szCs w:val="24"/>
          <w:vertAlign w:val="superscript"/>
        </w:rPr>
        <w:t>-</w:t>
      </w:r>
      <w:r>
        <w:rPr>
          <w:rFonts w:ascii="Times New Roman" w:hAnsi="Times New Roman" w:cs="Times New Roman"/>
          <w:sz w:val="24"/>
          <w:szCs w:val="24"/>
        </w:rPr>
        <w:t>), comme dans le sel (NaCl) par exemple. La figure montre clairement que l’échange Na</w:t>
      </w:r>
      <w:r w:rsidRPr="005145B0">
        <w:rPr>
          <w:rFonts w:ascii="Times New Roman" w:hAnsi="Times New Roman" w:cs="Times New Roman"/>
          <w:sz w:val="24"/>
          <w:szCs w:val="24"/>
          <w:vertAlign w:val="superscript"/>
        </w:rPr>
        <w:t>+</w:t>
      </w:r>
      <w:r>
        <w:rPr>
          <w:rFonts w:ascii="Times New Roman" w:hAnsi="Times New Roman" w:cs="Times New Roman"/>
          <w:sz w:val="24"/>
          <w:szCs w:val="24"/>
        </w:rPr>
        <w:t>/K</w:t>
      </w:r>
      <w:r w:rsidRPr="005145B0">
        <w:rPr>
          <w:rFonts w:ascii="Times New Roman" w:hAnsi="Times New Roman" w:cs="Times New Roman"/>
          <w:sz w:val="24"/>
          <w:szCs w:val="24"/>
          <w:vertAlign w:val="superscript"/>
        </w:rPr>
        <w:t>+</w:t>
      </w:r>
      <w:r w:rsidR="0007278A">
        <w:rPr>
          <w:rFonts w:ascii="Times New Roman" w:hAnsi="Times New Roman" w:cs="Times New Roman"/>
          <w:sz w:val="24"/>
          <w:szCs w:val="24"/>
        </w:rPr>
        <w:t xml:space="preserve">, </w:t>
      </w:r>
      <w:r w:rsidR="0007278A" w:rsidRPr="0007278A">
        <w:rPr>
          <w:rFonts w:ascii="Times New Roman" w:hAnsi="Times New Roman" w:cs="Times New Roman"/>
          <w:i/>
          <w:iCs/>
          <w:sz w:val="24"/>
          <w:szCs w:val="24"/>
        </w:rPr>
        <w:t>via</w:t>
      </w:r>
      <w:r w:rsidR="0007278A">
        <w:rPr>
          <w:rFonts w:ascii="Times New Roman" w:hAnsi="Times New Roman" w:cs="Times New Roman"/>
          <w:sz w:val="24"/>
          <w:szCs w:val="24"/>
        </w:rPr>
        <w:t xml:space="preserve"> des sites de liaison différents</w:t>
      </w:r>
      <w:r w:rsidR="000446BA">
        <w:rPr>
          <w:rFonts w:ascii="Times New Roman" w:hAnsi="Times New Roman" w:cs="Times New Roman"/>
          <w:sz w:val="24"/>
          <w:szCs w:val="24"/>
        </w:rPr>
        <w:t xml:space="preserve"> sur l’antiport</w:t>
      </w:r>
      <w:r w:rsidR="0007278A">
        <w:rPr>
          <w:rFonts w:ascii="Times New Roman" w:hAnsi="Times New Roman" w:cs="Times New Roman"/>
          <w:sz w:val="24"/>
          <w:szCs w:val="24"/>
        </w:rPr>
        <w:t xml:space="preserve">, </w:t>
      </w:r>
      <w:r>
        <w:rPr>
          <w:rFonts w:ascii="Times New Roman" w:hAnsi="Times New Roman" w:cs="Times New Roman"/>
          <w:sz w:val="24"/>
          <w:szCs w:val="24"/>
        </w:rPr>
        <w:t>est permis grâce à l’énergie associée à l’hyd</w:t>
      </w:r>
      <w:r w:rsidR="005145B0">
        <w:rPr>
          <w:rFonts w:ascii="Times New Roman" w:hAnsi="Times New Roman" w:cs="Times New Roman"/>
          <w:sz w:val="24"/>
          <w:szCs w:val="24"/>
        </w:rPr>
        <w:t>r</w:t>
      </w:r>
      <w:r>
        <w:rPr>
          <w:rFonts w:ascii="Times New Roman" w:hAnsi="Times New Roman" w:cs="Times New Roman"/>
          <w:sz w:val="24"/>
          <w:szCs w:val="24"/>
        </w:rPr>
        <w:t xml:space="preserve">olyse de l’ATP en ADP </w:t>
      </w:r>
      <w:r w:rsidR="005145B0">
        <w:rPr>
          <w:rFonts w:ascii="Times New Roman" w:hAnsi="Times New Roman" w:cs="Times New Roman"/>
          <w:sz w:val="24"/>
          <w:szCs w:val="24"/>
        </w:rPr>
        <w:t>+ Pi (phosphate inorganique). L’encart droit de la figure donne</w:t>
      </w:r>
      <w:r w:rsidR="000446BA">
        <w:rPr>
          <w:rFonts w:ascii="Times New Roman" w:hAnsi="Times New Roman" w:cs="Times New Roman"/>
          <w:sz w:val="24"/>
          <w:szCs w:val="24"/>
        </w:rPr>
        <w:t xml:space="preserve"> de plus</w:t>
      </w:r>
      <w:r w:rsidR="005145B0">
        <w:rPr>
          <w:rFonts w:ascii="Times New Roman" w:hAnsi="Times New Roman" w:cs="Times New Roman"/>
          <w:sz w:val="24"/>
          <w:szCs w:val="24"/>
        </w:rPr>
        <w:t xml:space="preserve"> l’exemple des concentrations normales des deux ions (facteur 10 entre elles) et en réponse à l’inhibition de l’hydrolyse de l’ATP (en présence de digitaline par exemple), où ce facteur 10 entre les concentrations est presque annulé.</w:t>
      </w:r>
    </w:p>
    <w:p w14:paraId="4D513897" w14:textId="77777777" w:rsidR="00576265" w:rsidRDefault="00576265" w:rsidP="00FC0473">
      <w:pPr>
        <w:jc w:val="both"/>
        <w:rPr>
          <w:rFonts w:ascii="Times New Roman" w:hAnsi="Times New Roman" w:cs="Times New Roman"/>
          <w:b/>
          <w:bCs/>
          <w:sz w:val="24"/>
          <w:szCs w:val="24"/>
        </w:rPr>
      </w:pPr>
    </w:p>
    <w:p w14:paraId="3C8B945F" w14:textId="6F09E7EA" w:rsidR="003C56D6" w:rsidRPr="003C56D6" w:rsidRDefault="003C56D6" w:rsidP="00FC0473">
      <w:pPr>
        <w:jc w:val="both"/>
        <w:rPr>
          <w:rFonts w:ascii="Times New Roman" w:hAnsi="Times New Roman" w:cs="Times New Roman"/>
          <w:b/>
          <w:bCs/>
          <w:sz w:val="24"/>
          <w:szCs w:val="24"/>
        </w:rPr>
      </w:pPr>
      <w:r w:rsidRPr="003C56D6">
        <w:rPr>
          <w:rFonts w:ascii="Times New Roman" w:hAnsi="Times New Roman" w:cs="Times New Roman"/>
          <w:b/>
          <w:bCs/>
          <w:sz w:val="24"/>
          <w:szCs w:val="24"/>
        </w:rPr>
        <w:t>Exemple de symport pour l’entrée cérébrale d’un acide gras essentiel (DHA).</w:t>
      </w:r>
    </w:p>
    <w:p w14:paraId="5ED05F03" w14:textId="3A029FB2" w:rsidR="003C56D6" w:rsidRDefault="003C56D6" w:rsidP="00FC0473">
      <w:pPr>
        <w:jc w:val="both"/>
        <w:rPr>
          <w:rFonts w:ascii="Times New Roman" w:hAnsi="Times New Roman" w:cs="Times New Roman"/>
          <w:sz w:val="24"/>
          <w:szCs w:val="24"/>
        </w:rPr>
      </w:pPr>
      <w:r>
        <w:rPr>
          <w:rFonts w:ascii="Times New Roman" w:hAnsi="Times New Roman" w:cs="Times New Roman"/>
          <w:sz w:val="24"/>
          <w:szCs w:val="24"/>
        </w:rPr>
        <w:t>Le cerveau est un organe très chargé en lipides, le deuxième</w:t>
      </w:r>
      <w:r w:rsidR="002068C2">
        <w:rPr>
          <w:rFonts w:ascii="Times New Roman" w:hAnsi="Times New Roman" w:cs="Times New Roman"/>
          <w:sz w:val="24"/>
          <w:szCs w:val="24"/>
        </w:rPr>
        <w:t xml:space="preserve"> le plus lipidique</w:t>
      </w:r>
      <w:r>
        <w:rPr>
          <w:rFonts w:ascii="Times New Roman" w:hAnsi="Times New Roman" w:cs="Times New Roman"/>
          <w:sz w:val="24"/>
          <w:szCs w:val="24"/>
        </w:rPr>
        <w:t xml:space="preserve"> après l</w:t>
      </w:r>
      <w:r w:rsidR="002068C2">
        <w:rPr>
          <w:rFonts w:ascii="Times New Roman" w:hAnsi="Times New Roman" w:cs="Times New Roman"/>
          <w:sz w:val="24"/>
          <w:szCs w:val="24"/>
        </w:rPr>
        <w:t>e</w:t>
      </w:r>
      <w:r>
        <w:rPr>
          <w:rFonts w:ascii="Times New Roman" w:hAnsi="Times New Roman" w:cs="Times New Roman"/>
          <w:sz w:val="24"/>
          <w:szCs w:val="24"/>
        </w:rPr>
        <w:t xml:space="preserve"> tissu adi</w:t>
      </w:r>
      <w:r w:rsidR="002068C2">
        <w:rPr>
          <w:rFonts w:ascii="Times New Roman" w:hAnsi="Times New Roman" w:cs="Times New Roman"/>
          <w:sz w:val="24"/>
          <w:szCs w:val="24"/>
        </w:rPr>
        <w:t>p</w:t>
      </w:r>
      <w:r>
        <w:rPr>
          <w:rFonts w:ascii="Times New Roman" w:hAnsi="Times New Roman" w:cs="Times New Roman"/>
          <w:sz w:val="24"/>
          <w:szCs w:val="24"/>
        </w:rPr>
        <w:t>eu</w:t>
      </w:r>
      <w:r w:rsidR="002068C2">
        <w:rPr>
          <w:rFonts w:ascii="Times New Roman" w:hAnsi="Times New Roman" w:cs="Times New Roman"/>
          <w:sz w:val="24"/>
          <w:szCs w:val="24"/>
        </w:rPr>
        <w:t xml:space="preserve">x, l’adipocyte étant le lieu de stockage des lipides pour leur utilisation énergétique ultérieure. </w:t>
      </w:r>
      <w:r w:rsidR="003A6352">
        <w:rPr>
          <w:rFonts w:ascii="Times New Roman" w:hAnsi="Times New Roman" w:cs="Times New Roman"/>
          <w:sz w:val="24"/>
          <w:szCs w:val="24"/>
        </w:rPr>
        <w:t>Contrairement au</w:t>
      </w:r>
      <w:r w:rsidR="002068C2">
        <w:rPr>
          <w:rFonts w:ascii="Times New Roman" w:hAnsi="Times New Roman" w:cs="Times New Roman"/>
          <w:sz w:val="24"/>
          <w:szCs w:val="24"/>
        </w:rPr>
        <w:t xml:space="preserve"> tissu adipeux, les lipides cérébraux ne sont pas utilisés comme réserve énergétique, mais comme éléments fonctionnels. Parmi ces lipides, un composant majoritaire (à l’inverse de tous les autres organes) est l’acide docosahexaénoïque (22 carbones avec 6 double liaisons) ou DHA (</w:t>
      </w:r>
      <w:r w:rsidR="002068C2" w:rsidRPr="002068C2">
        <w:rPr>
          <w:rFonts w:ascii="Times New Roman" w:hAnsi="Times New Roman" w:cs="Times New Roman"/>
          <w:i/>
          <w:iCs/>
          <w:sz w:val="24"/>
          <w:szCs w:val="24"/>
        </w:rPr>
        <w:t>docosahexaenoic acid</w:t>
      </w:r>
      <w:r w:rsidR="002068C2">
        <w:rPr>
          <w:rFonts w:ascii="Times New Roman" w:hAnsi="Times New Roman" w:cs="Times New Roman"/>
          <w:sz w:val="24"/>
          <w:szCs w:val="24"/>
        </w:rPr>
        <w:t>)</w:t>
      </w:r>
      <w:r w:rsidR="00913430">
        <w:rPr>
          <w:rFonts w:ascii="Times New Roman" w:hAnsi="Times New Roman" w:cs="Times New Roman"/>
          <w:sz w:val="24"/>
          <w:szCs w:val="24"/>
        </w:rPr>
        <w:t>, qui est particulièrement important pour le fonctionnement neuronal. Son entrée dans le cerveau à partir de la circulation sanguine a lieu au niveau de ce qu’il est convenu d’appeler la barrière hémato-</w:t>
      </w:r>
      <w:r w:rsidR="00EC41E2">
        <w:rPr>
          <w:rFonts w:ascii="Times New Roman" w:hAnsi="Times New Roman" w:cs="Times New Roman"/>
          <w:sz w:val="24"/>
          <w:szCs w:val="24"/>
        </w:rPr>
        <w:t>encéphalique/BHE</w:t>
      </w:r>
      <w:r w:rsidR="00913430">
        <w:rPr>
          <w:rFonts w:ascii="Times New Roman" w:hAnsi="Times New Roman" w:cs="Times New Roman"/>
          <w:sz w:val="24"/>
          <w:szCs w:val="24"/>
        </w:rPr>
        <w:t xml:space="preserve"> ou hémato-méningée</w:t>
      </w:r>
      <w:r w:rsidR="005E5764">
        <w:rPr>
          <w:rFonts w:ascii="Times New Roman" w:hAnsi="Times New Roman" w:cs="Times New Roman"/>
          <w:sz w:val="24"/>
          <w:szCs w:val="24"/>
        </w:rPr>
        <w:t xml:space="preserve">, ce nom de </w:t>
      </w:r>
      <w:r w:rsidR="002C66D0">
        <w:rPr>
          <w:rFonts w:ascii="Times New Roman" w:hAnsi="Times New Roman" w:cs="Times New Roman"/>
          <w:sz w:val="24"/>
          <w:szCs w:val="24"/>
        </w:rPr>
        <w:t>« </w:t>
      </w:r>
      <w:r w:rsidR="005E5764">
        <w:rPr>
          <w:rFonts w:ascii="Times New Roman" w:hAnsi="Times New Roman" w:cs="Times New Roman"/>
          <w:sz w:val="24"/>
          <w:szCs w:val="24"/>
        </w:rPr>
        <w:t>barrière</w:t>
      </w:r>
      <w:r w:rsidR="002C66D0">
        <w:rPr>
          <w:rFonts w:ascii="Times New Roman" w:hAnsi="Times New Roman" w:cs="Times New Roman"/>
          <w:sz w:val="24"/>
          <w:szCs w:val="24"/>
        </w:rPr>
        <w:t> »</w:t>
      </w:r>
      <w:r w:rsidR="005E5764">
        <w:rPr>
          <w:rFonts w:ascii="Times New Roman" w:hAnsi="Times New Roman" w:cs="Times New Roman"/>
          <w:sz w:val="24"/>
          <w:szCs w:val="24"/>
        </w:rPr>
        <w:t xml:space="preserve"> indiquant la présence de « jonctions serrées » dans les capillaires </w:t>
      </w:r>
      <w:r w:rsidR="000A4878">
        <w:rPr>
          <w:rFonts w:ascii="Times New Roman" w:hAnsi="Times New Roman" w:cs="Times New Roman"/>
          <w:sz w:val="24"/>
          <w:szCs w:val="24"/>
        </w:rPr>
        <w:t xml:space="preserve">sanguins </w:t>
      </w:r>
      <w:r w:rsidR="005E5764">
        <w:rPr>
          <w:rFonts w:ascii="Times New Roman" w:hAnsi="Times New Roman" w:cs="Times New Roman"/>
          <w:sz w:val="24"/>
          <w:szCs w:val="24"/>
        </w:rPr>
        <w:t>cérébraux.</w:t>
      </w:r>
      <w:r w:rsidR="00913430">
        <w:rPr>
          <w:rFonts w:ascii="Times New Roman" w:hAnsi="Times New Roman" w:cs="Times New Roman"/>
          <w:sz w:val="24"/>
          <w:szCs w:val="24"/>
        </w:rPr>
        <w:t xml:space="preserve"> </w:t>
      </w:r>
      <w:r w:rsidR="00EC41E2">
        <w:rPr>
          <w:rFonts w:ascii="Times New Roman" w:hAnsi="Times New Roman" w:cs="Times New Roman"/>
          <w:sz w:val="24"/>
          <w:szCs w:val="24"/>
        </w:rPr>
        <w:t>Cette entrée</w:t>
      </w:r>
      <w:r w:rsidR="00913430">
        <w:rPr>
          <w:rFonts w:ascii="Times New Roman" w:hAnsi="Times New Roman" w:cs="Times New Roman"/>
          <w:sz w:val="24"/>
          <w:szCs w:val="24"/>
        </w:rPr>
        <w:t xml:space="preserve"> très contrôlée</w:t>
      </w:r>
      <w:r w:rsidR="00EC41E2">
        <w:rPr>
          <w:rFonts w:ascii="Times New Roman" w:hAnsi="Times New Roman" w:cs="Times New Roman"/>
          <w:sz w:val="24"/>
          <w:szCs w:val="24"/>
        </w:rPr>
        <w:t xml:space="preserve"> est une caractéristique du cerveau qui se protège de toute molécule non requise</w:t>
      </w:r>
      <w:r w:rsidR="00913430">
        <w:rPr>
          <w:rFonts w:ascii="Times New Roman" w:hAnsi="Times New Roman" w:cs="Times New Roman"/>
          <w:sz w:val="24"/>
          <w:szCs w:val="24"/>
        </w:rPr>
        <w:t>.</w:t>
      </w:r>
      <w:r w:rsidR="00EC41E2">
        <w:rPr>
          <w:rFonts w:ascii="Times New Roman" w:hAnsi="Times New Roman" w:cs="Times New Roman"/>
          <w:sz w:val="24"/>
          <w:szCs w:val="24"/>
        </w:rPr>
        <w:t xml:space="preserve"> Le passage du DHA est facilité par un symport qui le fait passer sous forme d’ester polaire (appelé Lyso-phosphatidyl-choline-DHA</w:t>
      </w:r>
      <w:r w:rsidR="000A4878">
        <w:rPr>
          <w:rFonts w:ascii="Times New Roman" w:hAnsi="Times New Roman" w:cs="Times New Roman"/>
          <w:sz w:val="24"/>
          <w:szCs w:val="24"/>
        </w:rPr>
        <w:t xml:space="preserve"> ou </w:t>
      </w:r>
      <w:r w:rsidR="00EC41E2">
        <w:rPr>
          <w:rFonts w:ascii="Times New Roman" w:hAnsi="Times New Roman" w:cs="Times New Roman"/>
          <w:sz w:val="24"/>
          <w:szCs w:val="24"/>
        </w:rPr>
        <w:t>LPC-DHA</w:t>
      </w:r>
      <w:r w:rsidR="005E5764">
        <w:rPr>
          <w:rFonts w:ascii="Times New Roman" w:hAnsi="Times New Roman" w:cs="Times New Roman"/>
          <w:sz w:val="24"/>
          <w:szCs w:val="24"/>
        </w:rPr>
        <w:t>, schématisé sur la f</w:t>
      </w:r>
      <w:r w:rsidR="00EC41E2">
        <w:rPr>
          <w:rFonts w:ascii="Times New Roman" w:hAnsi="Times New Roman" w:cs="Times New Roman"/>
          <w:sz w:val="24"/>
          <w:szCs w:val="24"/>
        </w:rPr>
        <w:t>igure 6) en même temps qu’un ion sodium (Na</w:t>
      </w:r>
      <w:r w:rsidR="00EC41E2" w:rsidRPr="00EC41E2">
        <w:rPr>
          <w:rFonts w:ascii="Times New Roman" w:hAnsi="Times New Roman" w:cs="Times New Roman"/>
          <w:sz w:val="24"/>
          <w:szCs w:val="24"/>
          <w:vertAlign w:val="superscript"/>
        </w:rPr>
        <w:t>+</w:t>
      </w:r>
      <w:r w:rsidR="00EC41E2">
        <w:rPr>
          <w:rFonts w:ascii="Times New Roman" w:hAnsi="Times New Roman" w:cs="Times New Roman"/>
          <w:sz w:val="24"/>
          <w:szCs w:val="24"/>
        </w:rPr>
        <w:t>). La figure 7 schématise le fonctionnement de ce symport.</w:t>
      </w:r>
    </w:p>
    <w:p w14:paraId="3D8D69B8" w14:textId="580E006F" w:rsidR="009F284B" w:rsidRDefault="00CC314E" w:rsidP="00FC0473">
      <w:pPr>
        <w:jc w:val="both"/>
        <w:rPr>
          <w:rFonts w:ascii="Times New Roman" w:hAnsi="Times New Roman" w:cs="Times New Roman"/>
          <w:sz w:val="24"/>
          <w:szCs w:val="24"/>
        </w:rPr>
      </w:pPr>
      <w:r>
        <w:rPr>
          <w:noProof/>
        </w:rPr>
        <w:lastRenderedPageBreak/>
        <w:drawing>
          <wp:inline distT="0" distB="0" distL="0" distR="0" wp14:anchorId="21D9F1F9" wp14:editId="525D1A1F">
            <wp:extent cx="1643561" cy="1643561"/>
            <wp:effectExtent l="0" t="0" r="0" b="0"/>
            <wp:docPr id="1961992336" name="Picture 2">
              <a:extLst xmlns:a="http://schemas.openxmlformats.org/drawingml/2006/main">
                <a:ext uri="{FF2B5EF4-FFF2-40B4-BE49-F238E27FC236}">
                  <a16:creationId xmlns:a16="http://schemas.microsoft.com/office/drawing/2014/main" id="{023D7E33-E8A3-047F-CD46-D18B4DF489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023D7E33-E8A3-047F-CD46-D18B4DF48956}"/>
                        </a:ext>
                      </a:extLs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9351" cy="1689351"/>
                    </a:xfrm>
                    <a:prstGeom prst="rect">
                      <a:avLst/>
                    </a:prstGeom>
                    <a:noFill/>
                  </pic:spPr>
                </pic:pic>
              </a:graphicData>
            </a:graphic>
          </wp:inline>
        </w:drawing>
      </w:r>
      <w:r w:rsidRPr="00CC314E">
        <w:rPr>
          <w:noProof/>
        </w:rPr>
        <w:t xml:space="preserve"> </w:t>
      </w:r>
      <w:r>
        <w:rPr>
          <w:noProof/>
        </w:rPr>
        <w:drawing>
          <wp:inline distT="0" distB="0" distL="0" distR="0" wp14:anchorId="6A5FAD7B" wp14:editId="402DE0F6">
            <wp:extent cx="3997234" cy="2112295"/>
            <wp:effectExtent l="0" t="0" r="3810" b="2540"/>
            <wp:docPr id="823313506" name="Picture 2" descr="Mfsd2a: A Physiologically Important Lysolipid Transporter in the Brain and  Eye | SpringerLink">
              <a:extLst xmlns:a="http://schemas.openxmlformats.org/drawingml/2006/main">
                <a:ext uri="{FF2B5EF4-FFF2-40B4-BE49-F238E27FC236}">
                  <a16:creationId xmlns:a16="http://schemas.microsoft.com/office/drawing/2014/main" id="{F7BD6DF5-988B-4E34-85D7-C63CF99C16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Mfsd2a: A Physiologically Important Lysolipid Transporter in the Brain and  Eye | SpringerLink">
                      <a:extLst>
                        <a:ext uri="{FF2B5EF4-FFF2-40B4-BE49-F238E27FC236}">
                          <a16:creationId xmlns:a16="http://schemas.microsoft.com/office/drawing/2014/main" id="{F7BD6DF5-988B-4E34-85D7-C63CF99C16BD}"/>
                        </a:ext>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12155" cy="2120180"/>
                    </a:xfrm>
                    <a:prstGeom prst="rect">
                      <a:avLst/>
                    </a:prstGeom>
                    <a:noFill/>
                  </pic:spPr>
                </pic:pic>
              </a:graphicData>
            </a:graphic>
          </wp:inline>
        </w:drawing>
      </w:r>
    </w:p>
    <w:p w14:paraId="3C535D89" w14:textId="66A6BFCE" w:rsidR="00CC314E" w:rsidRDefault="00CC314E" w:rsidP="00FC0473">
      <w:pPr>
        <w:jc w:val="both"/>
        <w:rPr>
          <w:rFonts w:ascii="Times New Roman" w:hAnsi="Times New Roman" w:cs="Times New Roman"/>
          <w:sz w:val="24"/>
          <w:szCs w:val="24"/>
        </w:rPr>
      </w:pPr>
      <w:r w:rsidRPr="005D3267">
        <w:rPr>
          <w:rFonts w:ascii="Times New Roman" w:hAnsi="Times New Roman" w:cs="Times New Roman"/>
          <w:b/>
          <w:bCs/>
          <w:sz w:val="24"/>
          <w:szCs w:val="24"/>
        </w:rPr>
        <w:t xml:space="preserve">Figure </w:t>
      </w:r>
      <w:r w:rsidR="005D3267" w:rsidRPr="005D3267">
        <w:rPr>
          <w:rFonts w:ascii="Times New Roman" w:hAnsi="Times New Roman" w:cs="Times New Roman"/>
          <w:b/>
          <w:bCs/>
          <w:sz w:val="24"/>
          <w:szCs w:val="24"/>
        </w:rPr>
        <w:t>6</w:t>
      </w:r>
      <w:r w:rsidR="005D3267">
        <w:rPr>
          <w:rFonts w:ascii="Times New Roman" w:hAnsi="Times New Roman" w:cs="Times New Roman"/>
          <w:sz w:val="24"/>
          <w:szCs w:val="24"/>
        </w:rPr>
        <w:t xml:space="preserve"> (à gauche)</w:t>
      </w:r>
      <w:r>
        <w:rPr>
          <w:rFonts w:ascii="Times New Roman" w:hAnsi="Times New Roman" w:cs="Times New Roman"/>
          <w:sz w:val="24"/>
          <w:szCs w:val="24"/>
        </w:rPr>
        <w:t xml:space="preserve">. Représentation chimique en deux dimensions du DHA (chaîne polyinsaturée avec 6 double liaisons), couplé (estérifié) à </w:t>
      </w:r>
      <w:r w:rsidR="00847048">
        <w:rPr>
          <w:rFonts w:ascii="Times New Roman" w:hAnsi="Times New Roman" w:cs="Times New Roman"/>
          <w:sz w:val="24"/>
          <w:szCs w:val="24"/>
        </w:rPr>
        <w:t>la</w:t>
      </w:r>
      <w:r>
        <w:rPr>
          <w:rFonts w:ascii="Times New Roman" w:hAnsi="Times New Roman" w:cs="Times New Roman"/>
          <w:sz w:val="24"/>
          <w:szCs w:val="24"/>
        </w:rPr>
        <w:t xml:space="preserve"> partie polaire</w:t>
      </w:r>
      <w:r w:rsidR="00847048">
        <w:rPr>
          <w:rFonts w:ascii="Times New Roman" w:hAnsi="Times New Roman" w:cs="Times New Roman"/>
          <w:sz w:val="24"/>
          <w:szCs w:val="24"/>
        </w:rPr>
        <w:t xml:space="preserve"> de glycéro</w:t>
      </w:r>
      <w:r w:rsidR="005D3267">
        <w:rPr>
          <w:rFonts w:ascii="Times New Roman" w:hAnsi="Times New Roman" w:cs="Times New Roman"/>
          <w:sz w:val="24"/>
          <w:szCs w:val="24"/>
        </w:rPr>
        <w:t>-</w:t>
      </w:r>
      <w:r w:rsidR="00847048">
        <w:rPr>
          <w:rFonts w:ascii="Times New Roman" w:hAnsi="Times New Roman" w:cs="Times New Roman"/>
          <w:sz w:val="24"/>
          <w:szCs w:val="24"/>
        </w:rPr>
        <w:t>phospho</w:t>
      </w:r>
      <w:r w:rsidR="005D3267">
        <w:rPr>
          <w:rFonts w:ascii="Times New Roman" w:hAnsi="Times New Roman" w:cs="Times New Roman"/>
          <w:sz w:val="24"/>
          <w:szCs w:val="24"/>
        </w:rPr>
        <w:t>-</w:t>
      </w:r>
      <w:r w:rsidR="00847048">
        <w:rPr>
          <w:rFonts w:ascii="Times New Roman" w:hAnsi="Times New Roman" w:cs="Times New Roman"/>
          <w:sz w:val="24"/>
          <w:szCs w:val="24"/>
        </w:rPr>
        <w:t>choline</w:t>
      </w:r>
      <w:r w:rsidR="005F75D7">
        <w:rPr>
          <w:rFonts w:ascii="Times New Roman" w:hAnsi="Times New Roman" w:cs="Times New Roman"/>
          <w:sz w:val="24"/>
          <w:szCs w:val="24"/>
        </w:rPr>
        <w:t>, contenant</w:t>
      </w:r>
      <w:r w:rsidR="00847048">
        <w:rPr>
          <w:rFonts w:ascii="Times New Roman" w:hAnsi="Times New Roman" w:cs="Times New Roman"/>
          <w:sz w:val="24"/>
          <w:szCs w:val="24"/>
        </w:rPr>
        <w:t xml:space="preserve"> les atomes polaires d’oxygène</w:t>
      </w:r>
      <w:r w:rsidR="005D3267">
        <w:rPr>
          <w:rFonts w:ascii="Times New Roman" w:hAnsi="Times New Roman" w:cs="Times New Roman"/>
          <w:sz w:val="24"/>
          <w:szCs w:val="24"/>
        </w:rPr>
        <w:t>, ainsi que</w:t>
      </w:r>
      <w:r w:rsidR="00847048">
        <w:rPr>
          <w:rFonts w:ascii="Times New Roman" w:hAnsi="Times New Roman" w:cs="Times New Roman"/>
          <w:sz w:val="24"/>
          <w:szCs w:val="24"/>
        </w:rPr>
        <w:t xml:space="preserve"> </w:t>
      </w:r>
      <w:r w:rsidR="005D3267">
        <w:rPr>
          <w:rFonts w:ascii="Times New Roman" w:hAnsi="Times New Roman" w:cs="Times New Roman"/>
          <w:sz w:val="24"/>
          <w:szCs w:val="24"/>
        </w:rPr>
        <w:t>de phosphore et d’azote, respectivement chargés négativement (phosphate) et positivement (amine quaternaire). Le nom abrévié de l’ensemble est : LPC-DHA.</w:t>
      </w:r>
    </w:p>
    <w:p w14:paraId="356A2C9A" w14:textId="1534DD47" w:rsidR="005D3267" w:rsidRDefault="005D3267" w:rsidP="00FC0473">
      <w:pPr>
        <w:jc w:val="both"/>
        <w:rPr>
          <w:rFonts w:ascii="Times New Roman" w:hAnsi="Times New Roman" w:cs="Times New Roman"/>
          <w:sz w:val="24"/>
          <w:szCs w:val="24"/>
        </w:rPr>
      </w:pPr>
      <w:r w:rsidRPr="005D3267">
        <w:rPr>
          <w:rFonts w:ascii="Times New Roman" w:hAnsi="Times New Roman" w:cs="Times New Roman"/>
          <w:b/>
          <w:bCs/>
          <w:sz w:val="24"/>
          <w:szCs w:val="24"/>
        </w:rPr>
        <w:t>Figure 7</w:t>
      </w:r>
      <w:r>
        <w:rPr>
          <w:rFonts w:ascii="Times New Roman" w:hAnsi="Times New Roman" w:cs="Times New Roman"/>
          <w:sz w:val="24"/>
          <w:szCs w:val="24"/>
        </w:rPr>
        <w:t xml:space="preserve"> (à droite). Schéma du symport </w:t>
      </w:r>
      <w:r w:rsidR="00CB59AD">
        <w:rPr>
          <w:rFonts w:ascii="Times New Roman" w:hAnsi="Times New Roman" w:cs="Times New Roman"/>
          <w:sz w:val="24"/>
          <w:szCs w:val="24"/>
        </w:rPr>
        <w:t>(représenté par un ensemble protéique à deux entités de couleur jaune), changeant de forme pour permettre</w:t>
      </w:r>
      <w:r>
        <w:rPr>
          <w:rFonts w:ascii="Times New Roman" w:hAnsi="Times New Roman" w:cs="Times New Roman"/>
          <w:sz w:val="24"/>
          <w:szCs w:val="24"/>
        </w:rPr>
        <w:t xml:space="preserve"> le passage simultané de LPC-DHA (LPC</w:t>
      </w:r>
      <w:r w:rsidR="005F75D7">
        <w:rPr>
          <w:rFonts w:ascii="Times New Roman" w:hAnsi="Times New Roman" w:cs="Times New Roman"/>
          <w:sz w:val="24"/>
          <w:szCs w:val="24"/>
        </w:rPr>
        <w:t xml:space="preserve"> sur la figure</w:t>
      </w:r>
      <w:r>
        <w:rPr>
          <w:rFonts w:ascii="Times New Roman" w:hAnsi="Times New Roman" w:cs="Times New Roman"/>
          <w:sz w:val="24"/>
          <w:szCs w:val="24"/>
        </w:rPr>
        <w:t>) et d’un ion sodium (Na+) du milieu extracellulaire au cytoplasme pour le sodium et à la couche interne membranaire pour LPC. LPC se trouve ainsi intégré à la membrane interne où il subit quelques modifications chimiques avant d’être intégré à différentes parties cérébrales</w:t>
      </w:r>
      <w:r w:rsidR="00CB59AD">
        <w:rPr>
          <w:rFonts w:ascii="Times New Roman" w:hAnsi="Times New Roman" w:cs="Times New Roman"/>
          <w:sz w:val="24"/>
          <w:szCs w:val="24"/>
        </w:rPr>
        <w:t xml:space="preserve"> (partie fonctionnelle ultérieure non </w:t>
      </w:r>
      <w:r w:rsidR="002C66D0">
        <w:rPr>
          <w:rFonts w:ascii="Times New Roman" w:hAnsi="Times New Roman" w:cs="Times New Roman"/>
          <w:sz w:val="24"/>
          <w:szCs w:val="24"/>
        </w:rPr>
        <w:t>décrite</w:t>
      </w:r>
      <w:r w:rsidR="00CB59AD">
        <w:rPr>
          <w:rFonts w:ascii="Times New Roman" w:hAnsi="Times New Roman" w:cs="Times New Roman"/>
          <w:sz w:val="24"/>
          <w:szCs w:val="24"/>
        </w:rPr>
        <w:t xml:space="preserve"> ici)</w:t>
      </w:r>
      <w:r>
        <w:rPr>
          <w:rFonts w:ascii="Times New Roman" w:hAnsi="Times New Roman" w:cs="Times New Roman"/>
          <w:sz w:val="24"/>
          <w:szCs w:val="24"/>
        </w:rPr>
        <w:t>.</w:t>
      </w:r>
    </w:p>
    <w:p w14:paraId="3A7137BB" w14:textId="77777777" w:rsidR="00643CB0" w:rsidRDefault="00643CB0" w:rsidP="00FC0473">
      <w:pPr>
        <w:jc w:val="both"/>
        <w:rPr>
          <w:rFonts w:ascii="Times New Roman" w:hAnsi="Times New Roman" w:cs="Times New Roman"/>
          <w:sz w:val="24"/>
          <w:szCs w:val="24"/>
        </w:rPr>
      </w:pPr>
    </w:p>
    <w:p w14:paraId="08C57053" w14:textId="73DB4E82" w:rsidR="00643CB0" w:rsidRPr="00643CB0" w:rsidRDefault="00643CB0" w:rsidP="00FC0473">
      <w:pPr>
        <w:jc w:val="both"/>
        <w:rPr>
          <w:rFonts w:ascii="Times New Roman" w:hAnsi="Times New Roman" w:cs="Times New Roman"/>
          <w:b/>
          <w:bCs/>
          <w:sz w:val="24"/>
          <w:szCs w:val="24"/>
        </w:rPr>
      </w:pPr>
      <w:r w:rsidRPr="00643CB0">
        <w:rPr>
          <w:rFonts w:ascii="Times New Roman" w:hAnsi="Times New Roman" w:cs="Times New Roman"/>
          <w:b/>
          <w:bCs/>
          <w:sz w:val="24"/>
          <w:szCs w:val="24"/>
        </w:rPr>
        <w:t>Autres canaux membranaires importants.</w:t>
      </w:r>
    </w:p>
    <w:p w14:paraId="6E2ED738" w14:textId="393930DE" w:rsidR="0094181C" w:rsidRDefault="00643CB0" w:rsidP="00FC0473">
      <w:pPr>
        <w:jc w:val="both"/>
        <w:rPr>
          <w:rFonts w:ascii="Times New Roman" w:hAnsi="Times New Roman" w:cs="Times New Roman"/>
          <w:sz w:val="24"/>
          <w:szCs w:val="24"/>
        </w:rPr>
      </w:pPr>
      <w:r>
        <w:rPr>
          <w:rFonts w:ascii="Times New Roman" w:hAnsi="Times New Roman" w:cs="Times New Roman"/>
          <w:sz w:val="24"/>
          <w:szCs w:val="24"/>
        </w:rPr>
        <w:t xml:space="preserve">Comme mentionné en introduction, d’autres « canaux » cellulaires sont présents pour l’entrée ou la sortie d’éléments indispensables au fonctionnement de la plupart des cellules. On peut citer les canaux calciques, souvent voltage-dépendants, </w:t>
      </w:r>
      <w:r w:rsidR="00740CE0">
        <w:rPr>
          <w:rFonts w:ascii="Times New Roman" w:hAnsi="Times New Roman" w:cs="Times New Roman"/>
          <w:sz w:val="24"/>
          <w:szCs w:val="24"/>
        </w:rPr>
        <w:t>présents</w:t>
      </w:r>
      <w:r>
        <w:rPr>
          <w:rFonts w:ascii="Times New Roman" w:hAnsi="Times New Roman" w:cs="Times New Roman"/>
          <w:sz w:val="24"/>
          <w:szCs w:val="24"/>
        </w:rPr>
        <w:t xml:space="preserve"> dans les cellules animales pour accompagner ou déclencher leur activation.</w:t>
      </w:r>
    </w:p>
    <w:p w14:paraId="578B1662" w14:textId="708BD682" w:rsidR="00643CB0" w:rsidRDefault="00643CB0" w:rsidP="00FC0473">
      <w:pPr>
        <w:jc w:val="both"/>
        <w:rPr>
          <w:rFonts w:ascii="Times New Roman" w:hAnsi="Times New Roman" w:cs="Times New Roman"/>
          <w:sz w:val="24"/>
          <w:szCs w:val="24"/>
        </w:rPr>
      </w:pPr>
      <w:r>
        <w:rPr>
          <w:rFonts w:ascii="Times New Roman" w:hAnsi="Times New Roman" w:cs="Times New Roman"/>
          <w:sz w:val="24"/>
          <w:szCs w:val="24"/>
        </w:rPr>
        <w:t>On peut également citer des canaux nucléaires</w:t>
      </w:r>
      <w:r w:rsidR="0094181C">
        <w:rPr>
          <w:rFonts w:ascii="Times New Roman" w:hAnsi="Times New Roman" w:cs="Times New Roman"/>
          <w:sz w:val="24"/>
          <w:szCs w:val="24"/>
        </w:rPr>
        <w:t xml:space="preserve">, ou pores appelés nucléoporines, permettant à l’ARNm (acide ribonucléique messager), </w:t>
      </w:r>
      <w:r w:rsidR="00693135">
        <w:rPr>
          <w:rFonts w:ascii="Times New Roman" w:hAnsi="Times New Roman" w:cs="Times New Roman"/>
          <w:sz w:val="24"/>
          <w:szCs w:val="24"/>
        </w:rPr>
        <w:t>synthétisé à l’intérieur du noyau</w:t>
      </w:r>
      <w:r w:rsidR="00D73FB5">
        <w:rPr>
          <w:rFonts w:ascii="Times New Roman" w:hAnsi="Times New Roman" w:cs="Times New Roman"/>
          <w:sz w:val="24"/>
          <w:szCs w:val="24"/>
        </w:rPr>
        <w:t xml:space="preserve"> en copie de l’ADN</w:t>
      </w:r>
      <w:r w:rsidR="00693135">
        <w:rPr>
          <w:rFonts w:ascii="Times New Roman" w:hAnsi="Times New Roman" w:cs="Times New Roman"/>
          <w:sz w:val="24"/>
          <w:szCs w:val="24"/>
        </w:rPr>
        <w:t xml:space="preserve"> (phase appelée transcription), de </w:t>
      </w:r>
      <w:r w:rsidR="00D73FB5">
        <w:rPr>
          <w:rFonts w:ascii="Times New Roman" w:hAnsi="Times New Roman" w:cs="Times New Roman"/>
          <w:sz w:val="24"/>
          <w:szCs w:val="24"/>
        </w:rPr>
        <w:t>passer du noyau au</w:t>
      </w:r>
      <w:r w:rsidR="00693135">
        <w:rPr>
          <w:rFonts w:ascii="Times New Roman" w:hAnsi="Times New Roman" w:cs="Times New Roman"/>
          <w:sz w:val="24"/>
          <w:szCs w:val="24"/>
        </w:rPr>
        <w:t xml:space="preserve"> cytoplasme. Cet ARNm</w:t>
      </w:r>
      <w:r w:rsidR="003D0269">
        <w:rPr>
          <w:rFonts w:ascii="Times New Roman" w:hAnsi="Times New Roman" w:cs="Times New Roman"/>
          <w:sz w:val="24"/>
          <w:szCs w:val="24"/>
        </w:rPr>
        <w:t>, devenu</w:t>
      </w:r>
      <w:r w:rsidR="00693135">
        <w:rPr>
          <w:rFonts w:ascii="Times New Roman" w:hAnsi="Times New Roman" w:cs="Times New Roman"/>
          <w:sz w:val="24"/>
          <w:szCs w:val="24"/>
        </w:rPr>
        <w:t xml:space="preserve"> cytoplasmique</w:t>
      </w:r>
      <w:r w:rsidR="003D0269">
        <w:rPr>
          <w:rFonts w:ascii="Times New Roman" w:hAnsi="Times New Roman" w:cs="Times New Roman"/>
          <w:sz w:val="24"/>
          <w:szCs w:val="24"/>
        </w:rPr>
        <w:t>,</w:t>
      </w:r>
      <w:r w:rsidR="00693135">
        <w:rPr>
          <w:rFonts w:ascii="Times New Roman" w:hAnsi="Times New Roman" w:cs="Times New Roman"/>
          <w:sz w:val="24"/>
          <w:szCs w:val="24"/>
        </w:rPr>
        <w:t xml:space="preserve"> peut alors</w:t>
      </w:r>
      <w:r w:rsidR="0094181C">
        <w:rPr>
          <w:rFonts w:ascii="Times New Roman" w:hAnsi="Times New Roman" w:cs="Times New Roman"/>
          <w:sz w:val="24"/>
          <w:szCs w:val="24"/>
        </w:rPr>
        <w:t xml:space="preserve"> être traduit en protéine</w:t>
      </w:r>
      <w:r w:rsidR="00693135">
        <w:rPr>
          <w:rFonts w:ascii="Times New Roman" w:hAnsi="Times New Roman" w:cs="Times New Roman"/>
          <w:sz w:val="24"/>
          <w:szCs w:val="24"/>
        </w:rPr>
        <w:t xml:space="preserve"> (phase de traduction).</w:t>
      </w:r>
    </w:p>
    <w:p w14:paraId="3B2E3F57" w14:textId="5FA3B2DD" w:rsidR="00DB40D5" w:rsidRDefault="0094181C" w:rsidP="00FC0473">
      <w:pPr>
        <w:jc w:val="both"/>
        <w:rPr>
          <w:rFonts w:ascii="Times New Roman" w:hAnsi="Times New Roman" w:cs="Times New Roman"/>
          <w:sz w:val="24"/>
          <w:szCs w:val="24"/>
        </w:rPr>
      </w:pPr>
      <w:r>
        <w:rPr>
          <w:rFonts w:ascii="Times New Roman" w:hAnsi="Times New Roman" w:cs="Times New Roman"/>
          <w:sz w:val="24"/>
          <w:szCs w:val="24"/>
        </w:rPr>
        <w:t>Un troisième exemple caractéristique peut être cité avec le transporteur protéique du pyruvate/CH</w:t>
      </w:r>
      <w:r w:rsidRPr="0094181C">
        <w:rPr>
          <w:rFonts w:ascii="Times New Roman" w:hAnsi="Times New Roman" w:cs="Times New Roman"/>
          <w:sz w:val="24"/>
          <w:szCs w:val="24"/>
          <w:vertAlign w:val="subscript"/>
        </w:rPr>
        <w:t>3</w:t>
      </w:r>
      <w:r>
        <w:rPr>
          <w:rFonts w:ascii="Times New Roman" w:hAnsi="Times New Roman" w:cs="Times New Roman"/>
          <w:sz w:val="24"/>
          <w:szCs w:val="24"/>
        </w:rPr>
        <w:t>-CO-COO</w:t>
      </w:r>
      <w:r w:rsidRPr="0094181C">
        <w:rPr>
          <w:rFonts w:ascii="Times New Roman" w:hAnsi="Times New Roman" w:cs="Times New Roman"/>
          <w:sz w:val="24"/>
          <w:szCs w:val="24"/>
          <w:vertAlign w:val="superscript"/>
        </w:rPr>
        <w:t>-</w:t>
      </w:r>
      <w:r>
        <w:rPr>
          <w:rFonts w:ascii="Times New Roman" w:hAnsi="Times New Roman" w:cs="Times New Roman"/>
          <w:sz w:val="24"/>
          <w:szCs w:val="24"/>
        </w:rPr>
        <w:t xml:space="preserve">, (produit </w:t>
      </w:r>
      <w:r w:rsidR="00D73FB5">
        <w:rPr>
          <w:rFonts w:ascii="Times New Roman" w:hAnsi="Times New Roman" w:cs="Times New Roman"/>
          <w:sz w:val="24"/>
          <w:szCs w:val="24"/>
        </w:rPr>
        <w:t>à partir du</w:t>
      </w:r>
      <w:r>
        <w:rPr>
          <w:rFonts w:ascii="Times New Roman" w:hAnsi="Times New Roman" w:cs="Times New Roman"/>
          <w:sz w:val="24"/>
          <w:szCs w:val="24"/>
        </w:rPr>
        <w:t xml:space="preserve"> glucose dans le cytoplasme </w:t>
      </w:r>
      <w:r w:rsidR="00374DA4">
        <w:rPr>
          <w:rFonts w:ascii="Times New Roman" w:hAnsi="Times New Roman" w:cs="Times New Roman"/>
          <w:sz w:val="24"/>
          <w:szCs w:val="24"/>
        </w:rPr>
        <w:t>selon 1</w:t>
      </w:r>
      <w:r>
        <w:rPr>
          <w:rFonts w:ascii="Times New Roman" w:hAnsi="Times New Roman" w:cs="Times New Roman"/>
          <w:sz w:val="24"/>
          <w:szCs w:val="24"/>
        </w:rPr>
        <w:t xml:space="preserve"> glucose → 2 pyruvates)</w:t>
      </w:r>
      <w:r w:rsidR="00D73FB5">
        <w:rPr>
          <w:rFonts w:ascii="Times New Roman" w:hAnsi="Times New Roman" w:cs="Times New Roman"/>
          <w:sz w:val="24"/>
          <w:szCs w:val="24"/>
        </w:rPr>
        <w:t>. Ce transporteur</w:t>
      </w:r>
      <w:r w:rsidR="00374DA4">
        <w:rPr>
          <w:rFonts w:ascii="Times New Roman" w:hAnsi="Times New Roman" w:cs="Times New Roman"/>
          <w:sz w:val="24"/>
          <w:szCs w:val="24"/>
        </w:rPr>
        <w:t xml:space="preserve"> </w:t>
      </w:r>
      <w:r w:rsidR="00D73FB5">
        <w:rPr>
          <w:rFonts w:ascii="Times New Roman" w:hAnsi="Times New Roman" w:cs="Times New Roman"/>
          <w:sz w:val="24"/>
          <w:szCs w:val="24"/>
        </w:rPr>
        <w:t>protéique permet au pyruvate</w:t>
      </w:r>
      <w:r w:rsidR="00374DA4">
        <w:rPr>
          <w:rFonts w:ascii="Times New Roman" w:hAnsi="Times New Roman" w:cs="Times New Roman"/>
          <w:sz w:val="24"/>
          <w:szCs w:val="24"/>
        </w:rPr>
        <w:t xml:space="preserve"> d’entrer dans la mitochondrie pour y être dégradé en H</w:t>
      </w:r>
      <w:r w:rsidR="00374DA4" w:rsidRPr="00374DA4">
        <w:rPr>
          <w:rFonts w:ascii="Times New Roman" w:hAnsi="Times New Roman" w:cs="Times New Roman"/>
          <w:sz w:val="24"/>
          <w:szCs w:val="24"/>
          <w:vertAlign w:val="subscript"/>
        </w:rPr>
        <w:t>2</w:t>
      </w:r>
      <w:r w:rsidR="00374DA4">
        <w:rPr>
          <w:rFonts w:ascii="Times New Roman" w:hAnsi="Times New Roman" w:cs="Times New Roman"/>
          <w:sz w:val="24"/>
          <w:szCs w:val="24"/>
        </w:rPr>
        <w:t>O et CO</w:t>
      </w:r>
      <w:r w:rsidR="00374DA4" w:rsidRPr="00374DA4">
        <w:rPr>
          <w:rFonts w:ascii="Times New Roman" w:hAnsi="Times New Roman" w:cs="Times New Roman"/>
          <w:sz w:val="24"/>
          <w:szCs w:val="24"/>
          <w:vertAlign w:val="subscript"/>
        </w:rPr>
        <w:t>2</w:t>
      </w:r>
      <w:r w:rsidR="00374DA4">
        <w:rPr>
          <w:rFonts w:ascii="Times New Roman" w:hAnsi="Times New Roman" w:cs="Times New Roman"/>
          <w:sz w:val="24"/>
          <w:szCs w:val="24"/>
        </w:rPr>
        <w:t xml:space="preserve"> et former l’ATP, la source énergétique des cellules.</w:t>
      </w:r>
      <w:r w:rsidR="000354D4">
        <w:rPr>
          <w:rFonts w:ascii="Times New Roman" w:hAnsi="Times New Roman" w:cs="Times New Roman"/>
          <w:sz w:val="24"/>
          <w:szCs w:val="24"/>
        </w:rPr>
        <w:t xml:space="preserve"> Cette dégradation intra-mitochondriale est énergétiquement la plus importante pour la formation d’ATP</w:t>
      </w:r>
      <w:r w:rsidR="00D73FB5">
        <w:rPr>
          <w:rFonts w:ascii="Times New Roman" w:hAnsi="Times New Roman" w:cs="Times New Roman"/>
          <w:sz w:val="24"/>
          <w:szCs w:val="24"/>
        </w:rPr>
        <w:t xml:space="preserve"> cellulaire.</w:t>
      </w:r>
    </w:p>
    <w:p w14:paraId="10627652" w14:textId="77777777" w:rsidR="00100DA0" w:rsidRDefault="00100DA0" w:rsidP="00FC0473">
      <w:pPr>
        <w:jc w:val="both"/>
        <w:rPr>
          <w:rFonts w:ascii="Times New Roman" w:hAnsi="Times New Roman" w:cs="Times New Roman"/>
          <w:sz w:val="24"/>
          <w:szCs w:val="24"/>
        </w:rPr>
      </w:pPr>
    </w:p>
    <w:p w14:paraId="449249EE" w14:textId="77777777" w:rsidR="00100DA0" w:rsidRDefault="00100DA0" w:rsidP="00FC0473">
      <w:pPr>
        <w:jc w:val="both"/>
        <w:rPr>
          <w:rFonts w:ascii="Times New Roman" w:hAnsi="Times New Roman" w:cs="Times New Roman"/>
          <w:sz w:val="24"/>
          <w:szCs w:val="24"/>
        </w:rPr>
      </w:pPr>
    </w:p>
    <w:p w14:paraId="7E5B31C5" w14:textId="77777777" w:rsidR="00100DA0" w:rsidRPr="00100DA0" w:rsidRDefault="00100DA0" w:rsidP="00FC0473">
      <w:pPr>
        <w:jc w:val="both"/>
        <w:rPr>
          <w:rFonts w:ascii="Times New Roman" w:hAnsi="Times New Roman" w:cs="Times New Roman"/>
          <w:sz w:val="24"/>
          <w:szCs w:val="24"/>
        </w:rPr>
      </w:pPr>
    </w:p>
    <w:p w14:paraId="266AB45A" w14:textId="0D5619F3" w:rsidR="000354D4" w:rsidRPr="00605E5F" w:rsidRDefault="000354D4" w:rsidP="00FC0473">
      <w:pPr>
        <w:jc w:val="both"/>
        <w:rPr>
          <w:rFonts w:ascii="Times New Roman" w:hAnsi="Times New Roman" w:cs="Times New Roman"/>
          <w:b/>
          <w:bCs/>
          <w:sz w:val="24"/>
          <w:szCs w:val="24"/>
        </w:rPr>
      </w:pPr>
      <w:r w:rsidRPr="00605E5F">
        <w:rPr>
          <w:rFonts w:ascii="Times New Roman" w:hAnsi="Times New Roman" w:cs="Times New Roman"/>
          <w:b/>
          <w:bCs/>
          <w:sz w:val="24"/>
          <w:szCs w:val="24"/>
        </w:rPr>
        <w:lastRenderedPageBreak/>
        <w:t>Conclusion.</w:t>
      </w:r>
    </w:p>
    <w:p w14:paraId="73507C16" w14:textId="430A2812" w:rsidR="000354D4" w:rsidRPr="006723D2" w:rsidRDefault="00DB40D5" w:rsidP="00FC0473">
      <w:pPr>
        <w:jc w:val="both"/>
        <w:rPr>
          <w:rFonts w:ascii="Times New Roman" w:hAnsi="Times New Roman" w:cs="Times New Roman"/>
          <w:sz w:val="24"/>
          <w:szCs w:val="24"/>
        </w:rPr>
      </w:pPr>
      <w:r>
        <w:rPr>
          <w:rFonts w:ascii="Times New Roman" w:hAnsi="Times New Roman" w:cs="Times New Roman"/>
          <w:sz w:val="24"/>
          <w:szCs w:val="24"/>
        </w:rPr>
        <w:t xml:space="preserve">Cet article « résume » un processus biologique très important qui correspond aux échanges entre cellules </w:t>
      </w:r>
      <w:r w:rsidR="00EB0BFB">
        <w:rPr>
          <w:rFonts w:ascii="Times New Roman" w:hAnsi="Times New Roman" w:cs="Times New Roman"/>
          <w:sz w:val="24"/>
          <w:szCs w:val="24"/>
        </w:rPr>
        <w:t>d’un même organe</w:t>
      </w:r>
      <w:r>
        <w:rPr>
          <w:rFonts w:ascii="Times New Roman" w:hAnsi="Times New Roman" w:cs="Times New Roman"/>
          <w:sz w:val="24"/>
          <w:szCs w:val="24"/>
        </w:rPr>
        <w:t xml:space="preserve"> et entre les différents organes rassemblant ces cellules. Ces échanges entre milieux aqueux, ayant lieu au niveau des membranes cellulaires, essentiellement lipidiques, sont permis grâce à des « canaux » protéiques ancrés dans les membranes. Ces « canaux » sont presque aussi nombreux que les entités hydrophiles qui traversent ces membranes. Beaucoup de ces canaux sont très contrôlés, </w:t>
      </w:r>
      <w:r w:rsidR="00EB0BFB">
        <w:rPr>
          <w:rFonts w:ascii="Times New Roman" w:hAnsi="Times New Roman" w:cs="Times New Roman"/>
          <w:sz w:val="24"/>
          <w:szCs w:val="24"/>
        </w:rPr>
        <w:t>ce qui leur a donné le terme de « ports » membranaires. Les trois exemples d’uniport, antiport et symport présentés</w:t>
      </w:r>
      <w:r w:rsidR="0070113B">
        <w:rPr>
          <w:rFonts w:ascii="Times New Roman" w:hAnsi="Times New Roman" w:cs="Times New Roman"/>
          <w:sz w:val="24"/>
          <w:szCs w:val="24"/>
        </w:rPr>
        <w:t>,</w:t>
      </w:r>
      <w:r w:rsidR="00EB0BFB">
        <w:rPr>
          <w:rFonts w:ascii="Times New Roman" w:hAnsi="Times New Roman" w:cs="Times New Roman"/>
          <w:sz w:val="24"/>
          <w:szCs w:val="24"/>
        </w:rPr>
        <w:t xml:space="preserve"> illustrent bien la complexité biologique associée à la physiologie cellulaire, voire à sa physiopathologie.</w:t>
      </w:r>
    </w:p>
    <w:sectPr w:rsidR="000354D4" w:rsidRPr="006723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473"/>
    <w:rsid w:val="000354D4"/>
    <w:rsid w:val="000446BA"/>
    <w:rsid w:val="00071C84"/>
    <w:rsid w:val="0007278A"/>
    <w:rsid w:val="000A4878"/>
    <w:rsid w:val="00100DA0"/>
    <w:rsid w:val="002068C2"/>
    <w:rsid w:val="002C66D0"/>
    <w:rsid w:val="00346F2C"/>
    <w:rsid w:val="00374DA4"/>
    <w:rsid w:val="0038697E"/>
    <w:rsid w:val="003A6352"/>
    <w:rsid w:val="003C56D6"/>
    <w:rsid w:val="003D0269"/>
    <w:rsid w:val="003D1DC3"/>
    <w:rsid w:val="00421866"/>
    <w:rsid w:val="0045416A"/>
    <w:rsid w:val="004863C2"/>
    <w:rsid w:val="005145B0"/>
    <w:rsid w:val="0053030F"/>
    <w:rsid w:val="00576265"/>
    <w:rsid w:val="005B420B"/>
    <w:rsid w:val="005D3267"/>
    <w:rsid w:val="005E3104"/>
    <w:rsid w:val="005E5764"/>
    <w:rsid w:val="005F75D7"/>
    <w:rsid w:val="00605E5F"/>
    <w:rsid w:val="00643CB0"/>
    <w:rsid w:val="006723D2"/>
    <w:rsid w:val="0069069C"/>
    <w:rsid w:val="00693135"/>
    <w:rsid w:val="006B3E33"/>
    <w:rsid w:val="0070113B"/>
    <w:rsid w:val="0071505D"/>
    <w:rsid w:val="00740CE0"/>
    <w:rsid w:val="007565A7"/>
    <w:rsid w:val="007601CB"/>
    <w:rsid w:val="007906E5"/>
    <w:rsid w:val="007C56F2"/>
    <w:rsid w:val="00800D2F"/>
    <w:rsid w:val="008148B0"/>
    <w:rsid w:val="00820EB7"/>
    <w:rsid w:val="00847048"/>
    <w:rsid w:val="00853673"/>
    <w:rsid w:val="008B4B77"/>
    <w:rsid w:val="008E0A60"/>
    <w:rsid w:val="00913430"/>
    <w:rsid w:val="0094181C"/>
    <w:rsid w:val="00967926"/>
    <w:rsid w:val="009C1A17"/>
    <w:rsid w:val="009D1D43"/>
    <w:rsid w:val="009E65A1"/>
    <w:rsid w:val="009F284B"/>
    <w:rsid w:val="00A32148"/>
    <w:rsid w:val="00A44101"/>
    <w:rsid w:val="00A513CC"/>
    <w:rsid w:val="00B86647"/>
    <w:rsid w:val="00C23013"/>
    <w:rsid w:val="00C233AD"/>
    <w:rsid w:val="00C479B8"/>
    <w:rsid w:val="00C5388C"/>
    <w:rsid w:val="00C75976"/>
    <w:rsid w:val="00CB59AD"/>
    <w:rsid w:val="00CC1864"/>
    <w:rsid w:val="00CC314E"/>
    <w:rsid w:val="00D10C7A"/>
    <w:rsid w:val="00D17CE8"/>
    <w:rsid w:val="00D73FB5"/>
    <w:rsid w:val="00DA1D33"/>
    <w:rsid w:val="00DA7BF5"/>
    <w:rsid w:val="00DB40D5"/>
    <w:rsid w:val="00DC47DC"/>
    <w:rsid w:val="00E137CB"/>
    <w:rsid w:val="00E67DF8"/>
    <w:rsid w:val="00E70E12"/>
    <w:rsid w:val="00EB0BFB"/>
    <w:rsid w:val="00EC41E2"/>
    <w:rsid w:val="00ED5581"/>
    <w:rsid w:val="00F91012"/>
    <w:rsid w:val="00FC04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A31B6"/>
  <w15:chartTrackingRefBased/>
  <w15:docId w15:val="{1E0E9CD5-F271-4657-B786-673A2A20B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C047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FC047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FC0473"/>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FC0473"/>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FC0473"/>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FC0473"/>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FC0473"/>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FC0473"/>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FC0473"/>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C0473"/>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FC0473"/>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FC0473"/>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FC0473"/>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FC0473"/>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FC0473"/>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FC0473"/>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FC0473"/>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FC0473"/>
    <w:rPr>
      <w:rFonts w:eastAsiaTheme="majorEastAsia" w:cstheme="majorBidi"/>
      <w:color w:val="272727" w:themeColor="text1" w:themeTint="D8"/>
    </w:rPr>
  </w:style>
  <w:style w:type="paragraph" w:styleId="Titre">
    <w:name w:val="Title"/>
    <w:basedOn w:val="Normal"/>
    <w:next w:val="Normal"/>
    <w:link w:val="TitreCar"/>
    <w:uiPriority w:val="10"/>
    <w:qFormat/>
    <w:rsid w:val="00FC04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C0473"/>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FC0473"/>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FC0473"/>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FC0473"/>
    <w:pPr>
      <w:spacing w:before="160"/>
      <w:jc w:val="center"/>
    </w:pPr>
    <w:rPr>
      <w:i/>
      <w:iCs/>
      <w:color w:val="404040" w:themeColor="text1" w:themeTint="BF"/>
    </w:rPr>
  </w:style>
  <w:style w:type="character" w:customStyle="1" w:styleId="CitationCar">
    <w:name w:val="Citation Car"/>
    <w:basedOn w:val="Policepardfaut"/>
    <w:link w:val="Citation"/>
    <w:uiPriority w:val="29"/>
    <w:rsid w:val="00FC0473"/>
    <w:rPr>
      <w:i/>
      <w:iCs/>
      <w:color w:val="404040" w:themeColor="text1" w:themeTint="BF"/>
    </w:rPr>
  </w:style>
  <w:style w:type="paragraph" w:styleId="Paragraphedeliste">
    <w:name w:val="List Paragraph"/>
    <w:basedOn w:val="Normal"/>
    <w:uiPriority w:val="34"/>
    <w:qFormat/>
    <w:rsid w:val="00FC0473"/>
    <w:pPr>
      <w:ind w:left="720"/>
      <w:contextualSpacing/>
    </w:pPr>
  </w:style>
  <w:style w:type="character" w:styleId="Accentuationintense">
    <w:name w:val="Intense Emphasis"/>
    <w:basedOn w:val="Policepardfaut"/>
    <w:uiPriority w:val="21"/>
    <w:qFormat/>
    <w:rsid w:val="00FC0473"/>
    <w:rPr>
      <w:i/>
      <w:iCs/>
      <w:color w:val="2F5496" w:themeColor="accent1" w:themeShade="BF"/>
    </w:rPr>
  </w:style>
  <w:style w:type="paragraph" w:styleId="Citationintense">
    <w:name w:val="Intense Quote"/>
    <w:basedOn w:val="Normal"/>
    <w:next w:val="Normal"/>
    <w:link w:val="CitationintenseCar"/>
    <w:uiPriority w:val="30"/>
    <w:qFormat/>
    <w:rsid w:val="00FC047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FC0473"/>
    <w:rPr>
      <w:i/>
      <w:iCs/>
      <w:color w:val="2F5496" w:themeColor="accent1" w:themeShade="BF"/>
    </w:rPr>
  </w:style>
  <w:style w:type="character" w:styleId="Rfrenceintense">
    <w:name w:val="Intense Reference"/>
    <w:basedOn w:val="Policepardfaut"/>
    <w:uiPriority w:val="32"/>
    <w:qFormat/>
    <w:rsid w:val="00FC047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362</TotalTime>
  <Pages>6</Pages>
  <Words>1700</Words>
  <Characters>9351</Characters>
  <Application>Microsoft Office Word</Application>
  <DocSecurity>0</DocSecurity>
  <Lines>77</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Lagarde</dc:creator>
  <cp:keywords/>
  <dc:description/>
  <cp:lastModifiedBy>Michel Lagarde</cp:lastModifiedBy>
  <cp:revision>48</cp:revision>
  <dcterms:created xsi:type="dcterms:W3CDTF">2026-06-25T15:44:00Z</dcterms:created>
  <dcterms:modified xsi:type="dcterms:W3CDTF">2026-08-24T14:26:00Z</dcterms:modified>
</cp:coreProperties>
</file>